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7A892" w14:textId="77777777" w:rsidR="00584EAD" w:rsidRPr="003828EB" w:rsidRDefault="00584EAD" w:rsidP="00677B21">
      <w:pPr>
        <w:pStyle w:val="Titel"/>
        <w:spacing w:before="0" w:afterLines="200" w:after="480"/>
        <w:rPr>
          <w:lang w:val="en-GB"/>
        </w:rPr>
      </w:pPr>
      <w:r w:rsidRPr="003828EB">
        <w:rPr>
          <w:bCs/>
          <w:lang w:val="en-GB"/>
        </w:rPr>
        <w:t>Press Release</w:t>
      </w:r>
    </w:p>
    <w:p w14:paraId="0627A893" w14:textId="2F2E3E20" w:rsidR="00BC4F56" w:rsidRPr="003828EB" w:rsidRDefault="004C1B65" w:rsidP="00BC4F56">
      <w:pPr>
        <w:pStyle w:val="berschrift2"/>
        <w:rPr>
          <w:lang w:val="en-GB"/>
        </w:rPr>
      </w:pPr>
      <w:r w:rsidRPr="003828EB">
        <w:rPr>
          <w:lang w:val="en-GB"/>
        </w:rPr>
        <w:t>Koenig &amp; Bauer with 10.2% higher order intake</w:t>
      </w:r>
    </w:p>
    <w:p w14:paraId="0627A894" w14:textId="77777777" w:rsidR="00BC4F56" w:rsidRPr="003828EB" w:rsidRDefault="00BC4F56" w:rsidP="00BC4F56">
      <w:pPr>
        <w:spacing w:after="240"/>
        <w:rPr>
          <w:lang w:val="en-GB"/>
        </w:rPr>
      </w:pPr>
    </w:p>
    <w:p w14:paraId="0627A895" w14:textId="347FC35F" w:rsidR="00BC4F56" w:rsidRPr="00690591" w:rsidRDefault="003828EB" w:rsidP="00BC4F56">
      <w:pPr>
        <w:pStyle w:val="Untertitel"/>
        <w:spacing w:after="240"/>
        <w:rPr>
          <w:szCs w:val="24"/>
          <w:lang w:val="en-GB"/>
        </w:rPr>
      </w:pPr>
      <w:r w:rsidRPr="00690591">
        <w:rPr>
          <w:szCs w:val="24"/>
          <w:lang w:val="en-GB"/>
        </w:rPr>
        <w:t>Growth offensive 2023 has p</w:t>
      </w:r>
      <w:r w:rsidR="004C1B65" w:rsidRPr="00690591">
        <w:rPr>
          <w:szCs w:val="24"/>
          <w:lang w:val="en-GB"/>
        </w:rPr>
        <w:t>articularly</w:t>
      </w:r>
      <w:r w:rsidRPr="00690591">
        <w:rPr>
          <w:szCs w:val="24"/>
          <w:lang w:val="en-GB"/>
        </w:rPr>
        <w:t xml:space="preserve"> high priority</w:t>
      </w:r>
    </w:p>
    <w:p w14:paraId="0627A897" w14:textId="4C36E729" w:rsidR="00A44634" w:rsidRPr="003828EB" w:rsidRDefault="00C905B6" w:rsidP="00A44634">
      <w:pPr>
        <w:pStyle w:val="Aufzhlung"/>
        <w:spacing w:after="240"/>
        <w:rPr>
          <w:lang w:val="en-GB"/>
        </w:rPr>
      </w:pPr>
      <w:r w:rsidRPr="003828EB">
        <w:rPr>
          <w:lang w:val="en-GB"/>
        </w:rPr>
        <w:t xml:space="preserve">Order </w:t>
      </w:r>
      <w:r w:rsidR="004C1B65" w:rsidRPr="003828EB">
        <w:rPr>
          <w:lang w:val="en-GB"/>
        </w:rPr>
        <w:t>gains</w:t>
      </w:r>
      <w:r w:rsidRPr="003828EB">
        <w:rPr>
          <w:lang w:val="en-GB"/>
        </w:rPr>
        <w:t xml:space="preserve"> in service and packaging and security printing</w:t>
      </w:r>
    </w:p>
    <w:p w14:paraId="0627A898" w14:textId="731F4DAB" w:rsidR="00A44634" w:rsidRPr="003828EB" w:rsidRDefault="004C1B65" w:rsidP="00A44634">
      <w:pPr>
        <w:pStyle w:val="Aufzhlung"/>
        <w:spacing w:after="240"/>
        <w:rPr>
          <w:lang w:val="en-GB"/>
        </w:rPr>
      </w:pPr>
      <w:r w:rsidRPr="003828EB">
        <w:rPr>
          <w:lang w:val="en-GB"/>
        </w:rPr>
        <w:t>Well filled project p</w:t>
      </w:r>
      <w:r w:rsidR="007E2163" w:rsidRPr="003828EB">
        <w:rPr>
          <w:lang w:val="en-GB"/>
        </w:rPr>
        <w:t xml:space="preserve">ipeline in all </w:t>
      </w:r>
      <w:r w:rsidR="0014042C" w:rsidRPr="003828EB">
        <w:rPr>
          <w:lang w:val="en-GB"/>
        </w:rPr>
        <w:t>business fields</w:t>
      </w:r>
    </w:p>
    <w:p w14:paraId="0627A899" w14:textId="77777777" w:rsidR="00A44634" w:rsidRPr="003828EB" w:rsidRDefault="007E2163" w:rsidP="00A44634">
      <w:pPr>
        <w:pStyle w:val="Aufzhlung"/>
        <w:spacing w:after="240"/>
        <w:rPr>
          <w:lang w:val="en-GB"/>
        </w:rPr>
      </w:pPr>
      <w:r w:rsidRPr="003828EB">
        <w:rPr>
          <w:lang w:val="en-GB"/>
        </w:rPr>
        <w:t>6.2% growth in revenue</w:t>
      </w:r>
    </w:p>
    <w:p w14:paraId="0627A89A" w14:textId="77777777" w:rsidR="00A44634" w:rsidRPr="003828EB" w:rsidRDefault="007E2163" w:rsidP="00A44634">
      <w:pPr>
        <w:pStyle w:val="Aufzhlung"/>
        <w:spacing w:after="240"/>
        <w:rPr>
          <w:lang w:val="en-GB"/>
        </w:rPr>
      </w:pPr>
      <w:r w:rsidRPr="003828EB">
        <w:rPr>
          <w:lang w:val="en-GB"/>
        </w:rPr>
        <w:t>Full capacity utilisation thanks to high order backlog</w:t>
      </w:r>
    </w:p>
    <w:p w14:paraId="0627A89B" w14:textId="122C154B" w:rsidR="00A44634" w:rsidRPr="003828EB" w:rsidRDefault="00C905B6" w:rsidP="00A44634">
      <w:pPr>
        <w:pStyle w:val="Aufzhlung"/>
        <w:spacing w:after="240"/>
        <w:rPr>
          <w:lang w:val="en-GB"/>
        </w:rPr>
      </w:pPr>
      <w:r w:rsidRPr="003828EB">
        <w:rPr>
          <w:lang w:val="en-GB"/>
        </w:rPr>
        <w:t xml:space="preserve">Q1 earnings close to </w:t>
      </w:r>
      <w:r w:rsidR="0014042C" w:rsidRPr="003828EB">
        <w:rPr>
          <w:lang w:val="en-GB"/>
        </w:rPr>
        <w:t>last</w:t>
      </w:r>
      <w:r w:rsidRPr="003828EB">
        <w:rPr>
          <w:lang w:val="en-GB"/>
        </w:rPr>
        <w:t xml:space="preserve"> year</w:t>
      </w:r>
      <w:r w:rsidR="0014042C" w:rsidRPr="003828EB">
        <w:rPr>
          <w:lang w:val="en-GB"/>
        </w:rPr>
        <w:t xml:space="preserve">’s level despite growth </w:t>
      </w:r>
      <w:r w:rsidRPr="003828EB">
        <w:rPr>
          <w:lang w:val="en-GB"/>
        </w:rPr>
        <w:t>expenses</w:t>
      </w:r>
    </w:p>
    <w:p w14:paraId="0627A89D" w14:textId="77777777" w:rsidR="00A44634" w:rsidRPr="003828EB" w:rsidRDefault="00C905B6" w:rsidP="00A44634">
      <w:pPr>
        <w:pStyle w:val="Aufzhlung"/>
        <w:spacing w:after="240"/>
        <w:rPr>
          <w:lang w:val="en-GB"/>
        </w:rPr>
      </w:pPr>
      <w:r w:rsidRPr="003828EB">
        <w:rPr>
          <w:lang w:val="en-GB"/>
        </w:rPr>
        <w:t>Equity ratio of 37.5%</w:t>
      </w:r>
    </w:p>
    <w:p w14:paraId="0627A89E" w14:textId="7398C846" w:rsidR="00584EAD" w:rsidRPr="003828EB" w:rsidRDefault="0045400C" w:rsidP="00A44634">
      <w:pPr>
        <w:pStyle w:val="Aufzhlung"/>
        <w:spacing w:after="240"/>
        <w:rPr>
          <w:lang w:val="en-GB"/>
        </w:rPr>
      </w:pPr>
      <w:r w:rsidRPr="003828EB">
        <w:rPr>
          <w:lang w:val="en-GB"/>
        </w:rPr>
        <w:t>Guidance</w:t>
      </w:r>
      <w:r w:rsidR="00975E61" w:rsidRPr="003828EB">
        <w:rPr>
          <w:lang w:val="en-GB"/>
        </w:rPr>
        <w:t xml:space="preserve"> for 2019: revenue growth of around 4% and an EBIT margin of </w:t>
      </w:r>
      <w:r w:rsidR="0014042C" w:rsidRPr="003828EB">
        <w:rPr>
          <w:lang w:val="en-GB"/>
        </w:rPr>
        <w:t>around</w:t>
      </w:r>
      <w:r w:rsidR="00975E61" w:rsidRPr="003828EB">
        <w:rPr>
          <w:lang w:val="en-GB"/>
        </w:rPr>
        <w:t xml:space="preserve"> 6%</w:t>
      </w:r>
      <w:r w:rsidRPr="003828EB">
        <w:rPr>
          <w:lang w:val="en-GB"/>
        </w:rPr>
        <w:t xml:space="preserve"> in the group</w:t>
      </w:r>
    </w:p>
    <w:p w14:paraId="0627A89F" w14:textId="789F310E" w:rsidR="00CE56BD" w:rsidRPr="003828EB" w:rsidRDefault="00A44634" w:rsidP="00AF2633">
      <w:pPr>
        <w:spacing w:after="240"/>
        <w:ind w:right="281"/>
        <w:rPr>
          <w:lang w:val="en-GB"/>
        </w:rPr>
      </w:pPr>
      <w:r w:rsidRPr="003828EB">
        <w:rPr>
          <w:lang w:val="en-GB"/>
        </w:rPr>
        <w:t>Würzburg, 3 May 2019</w:t>
      </w:r>
      <w:r w:rsidRPr="003828EB">
        <w:rPr>
          <w:lang w:val="en-GB"/>
        </w:rPr>
        <w:br/>
      </w:r>
      <w:r w:rsidR="0014042C" w:rsidRPr="003828EB">
        <w:rPr>
          <w:lang w:val="en-GB"/>
        </w:rPr>
        <w:t xml:space="preserve">2019 started well for the Koenig &amp; Bauer </w:t>
      </w:r>
      <w:r w:rsidR="0045400C" w:rsidRPr="003828EB">
        <w:rPr>
          <w:lang w:val="en-GB"/>
        </w:rPr>
        <w:t>g</w:t>
      </w:r>
      <w:r w:rsidR="0014042C" w:rsidRPr="003828EB">
        <w:rPr>
          <w:lang w:val="en-GB"/>
        </w:rPr>
        <w:t>roup, posting a double-digit increase in order intake in the first quarter year-over</w:t>
      </w:r>
      <w:r w:rsidR="00BE46C7">
        <w:rPr>
          <w:lang w:val="en-GB"/>
        </w:rPr>
        <w:t>-</w:t>
      </w:r>
      <w:r w:rsidR="0014042C" w:rsidRPr="003828EB">
        <w:rPr>
          <w:lang w:val="en-GB"/>
        </w:rPr>
        <w:t xml:space="preserve">year to €276.4m. This strong growth, which exceeded the industry average, was underpinned by </w:t>
      </w:r>
      <w:r w:rsidR="0014042C" w:rsidRPr="003828EB">
        <w:rPr>
          <w:color w:val="222222"/>
          <w:lang w:val="en-GB"/>
        </w:rPr>
        <w:t>significantly more orders</w:t>
      </w:r>
      <w:r w:rsidR="0014042C" w:rsidRPr="003828EB">
        <w:rPr>
          <w:lang w:val="en-GB"/>
        </w:rPr>
        <w:t xml:space="preserve"> for services and for folding carton, direct glass and security printing presses. At €230.7m, revenue</w:t>
      </w:r>
      <w:r w:rsidR="0014042C" w:rsidRPr="003828EB">
        <w:rPr>
          <w:color w:val="222222"/>
          <w:lang w:val="en-GB"/>
        </w:rPr>
        <w:t xml:space="preserve"> exceeded the previous year's figure by 6.2%.</w:t>
      </w:r>
      <w:r w:rsidR="0014042C" w:rsidRPr="003828EB">
        <w:rPr>
          <w:lang w:val="en-GB"/>
        </w:rPr>
        <w:t xml:space="preserve"> EBIT was still slightly in negative territory due to the low revenue level, coming to –€2.8m despite high market-entry and growth-related expenses, and was thus not far off the previous year’s figure of –€1.9m.</w:t>
      </w:r>
      <w:r w:rsidRPr="003828EB">
        <w:rPr>
          <w:lang w:val="en-GB"/>
        </w:rPr>
        <w:t xml:space="preserve"> At –€4.9m, </w:t>
      </w:r>
      <w:r w:rsidR="00AF2633">
        <w:rPr>
          <w:lang w:val="en-GB"/>
        </w:rPr>
        <w:t>g</w:t>
      </w:r>
      <w:r w:rsidRPr="003828EB">
        <w:rPr>
          <w:lang w:val="en-GB"/>
        </w:rPr>
        <w:t xml:space="preserve">roup net </w:t>
      </w:r>
      <w:r w:rsidR="0014042C" w:rsidRPr="003828EB">
        <w:rPr>
          <w:lang w:val="en-GB"/>
        </w:rPr>
        <w:t>earnings</w:t>
      </w:r>
      <w:r w:rsidRPr="003828EB">
        <w:rPr>
          <w:lang w:val="en-GB"/>
        </w:rPr>
        <w:t xml:space="preserve"> in the first quarter of 2019 translate</w:t>
      </w:r>
      <w:bookmarkStart w:id="0" w:name="_GoBack"/>
      <w:bookmarkEnd w:id="0"/>
      <w:r w:rsidRPr="003828EB">
        <w:rPr>
          <w:lang w:val="en-GB"/>
        </w:rPr>
        <w:t xml:space="preserve"> into earnings per share of –€0.30.</w:t>
      </w:r>
    </w:p>
    <w:p w14:paraId="0627A8A0" w14:textId="458C1005" w:rsidR="00A44634" w:rsidRPr="003828EB" w:rsidRDefault="00AF2633" w:rsidP="00A44634">
      <w:pPr>
        <w:pStyle w:val="berschrift3"/>
        <w:rPr>
          <w:lang w:val="en-GB"/>
        </w:rPr>
      </w:pPr>
      <w:r>
        <w:rPr>
          <w:bCs/>
          <w:lang w:val="en-GB"/>
        </w:rPr>
        <w:t>Strong</w:t>
      </w:r>
      <w:r w:rsidR="0014042C" w:rsidRPr="003828EB">
        <w:rPr>
          <w:bCs/>
          <w:lang w:val="en-GB"/>
        </w:rPr>
        <w:t xml:space="preserve"> order intake in Sheetfed</w:t>
      </w:r>
    </w:p>
    <w:p w14:paraId="0627A8A1" w14:textId="1B6CEE0A" w:rsidR="00A44634" w:rsidRPr="003828EB" w:rsidRDefault="0014042C" w:rsidP="00F53973">
      <w:pPr>
        <w:spacing w:after="240"/>
        <w:ind w:right="281"/>
        <w:rPr>
          <w:szCs w:val="20"/>
          <w:lang w:val="en-GB"/>
        </w:rPr>
      </w:pPr>
      <w:r w:rsidRPr="003828EB">
        <w:rPr>
          <w:rFonts w:ascii="Arial" w:hAnsi="Arial" w:cs="Arial"/>
          <w:szCs w:val="20"/>
          <w:lang w:val="en-GB"/>
        </w:rPr>
        <w:t xml:space="preserve">In addition to </w:t>
      </w:r>
      <w:r w:rsidR="00AF2633">
        <w:rPr>
          <w:rFonts w:ascii="Arial" w:hAnsi="Arial" w:cs="Arial"/>
          <w:szCs w:val="20"/>
          <w:lang w:val="en-GB"/>
        </w:rPr>
        <w:t>good</w:t>
      </w:r>
      <w:r w:rsidRPr="003828EB">
        <w:rPr>
          <w:rFonts w:ascii="Arial" w:hAnsi="Arial" w:cs="Arial"/>
          <w:szCs w:val="20"/>
          <w:lang w:val="en-GB"/>
        </w:rPr>
        <w:t xml:space="preserve"> service </w:t>
      </w:r>
      <w:r w:rsidR="00AF2633">
        <w:rPr>
          <w:rFonts w:ascii="Arial" w:hAnsi="Arial" w:cs="Arial"/>
          <w:szCs w:val="20"/>
          <w:lang w:val="en-GB"/>
        </w:rPr>
        <w:t>orders</w:t>
      </w:r>
      <w:r w:rsidRPr="003828EB">
        <w:rPr>
          <w:rFonts w:ascii="Arial" w:hAnsi="Arial" w:cs="Arial"/>
          <w:szCs w:val="20"/>
          <w:lang w:val="en-GB"/>
        </w:rPr>
        <w:t xml:space="preserve">, the substantially higher orders for packaging printing presses caused order intake in the </w:t>
      </w:r>
      <w:r w:rsidRPr="003828EB">
        <w:rPr>
          <w:rFonts w:ascii="Arial" w:hAnsi="Arial" w:cs="Arial"/>
          <w:bCs/>
          <w:szCs w:val="20"/>
          <w:lang w:val="en-GB"/>
        </w:rPr>
        <w:t>Sheetfed</w:t>
      </w:r>
      <w:r w:rsidRPr="003828EB">
        <w:rPr>
          <w:rFonts w:ascii="Arial" w:hAnsi="Arial" w:cs="Arial"/>
          <w:szCs w:val="20"/>
          <w:lang w:val="en-GB"/>
        </w:rPr>
        <w:t xml:space="preserve"> segm</w:t>
      </w:r>
      <w:r w:rsidR="001A7189" w:rsidRPr="003828EB">
        <w:rPr>
          <w:rFonts w:ascii="Arial" w:hAnsi="Arial" w:cs="Arial"/>
          <w:szCs w:val="20"/>
          <w:lang w:val="en-GB"/>
        </w:rPr>
        <w:t>ent to rise by 12.4% to €173.5m</w:t>
      </w:r>
      <w:r w:rsidRPr="003828EB">
        <w:rPr>
          <w:rFonts w:ascii="Arial" w:hAnsi="Arial" w:cs="Arial"/>
          <w:szCs w:val="20"/>
          <w:lang w:val="en-GB"/>
        </w:rPr>
        <w:t>. Revenue increased slightly by</w:t>
      </w:r>
      <w:r w:rsidR="001A7189" w:rsidRPr="003828EB">
        <w:rPr>
          <w:rFonts w:ascii="Arial" w:hAnsi="Arial" w:cs="Arial"/>
          <w:szCs w:val="20"/>
          <w:lang w:val="en-GB"/>
        </w:rPr>
        <w:t xml:space="preserve"> 1.8% to €113m</w:t>
      </w:r>
      <w:r w:rsidRPr="003828EB">
        <w:rPr>
          <w:rFonts w:ascii="Arial" w:hAnsi="Arial" w:cs="Arial"/>
          <w:szCs w:val="20"/>
          <w:lang w:val="en-GB"/>
        </w:rPr>
        <w:t>. The good order backlog of €250.5m ensures continued high capacity utilisation. At –€3.1m, EBIT was below the previous year’s figure (€0.4m) due to the product mix and the costs arising in connection with the Print China trade fair.</w:t>
      </w:r>
    </w:p>
    <w:p w14:paraId="0627A8A2" w14:textId="6E567404" w:rsidR="00A44634" w:rsidRPr="003828EB" w:rsidRDefault="001A7189" w:rsidP="00A44634">
      <w:pPr>
        <w:pStyle w:val="berschrift3"/>
        <w:rPr>
          <w:lang w:val="en-GB"/>
        </w:rPr>
      </w:pPr>
      <w:r w:rsidRPr="003828EB">
        <w:rPr>
          <w:bCs/>
          <w:lang w:val="en-GB"/>
        </w:rPr>
        <w:t>Growth expenses burden Digital &amp; Web earnings</w:t>
      </w:r>
    </w:p>
    <w:p w14:paraId="0627A8A3" w14:textId="11CBE00D" w:rsidR="00A44634" w:rsidRPr="003828EB" w:rsidRDefault="001A7189" w:rsidP="00AF2633">
      <w:pPr>
        <w:tabs>
          <w:tab w:val="left" w:pos="-5954"/>
        </w:tabs>
        <w:spacing w:after="240"/>
        <w:ind w:right="423"/>
        <w:rPr>
          <w:szCs w:val="20"/>
          <w:lang w:val="en-GB"/>
        </w:rPr>
      </w:pPr>
      <w:r w:rsidRPr="003828EB">
        <w:rPr>
          <w:rFonts w:ascii="Arial" w:hAnsi="Arial" w:cs="Arial"/>
          <w:szCs w:val="20"/>
          <w:lang w:val="en-GB"/>
        </w:rPr>
        <w:t xml:space="preserve">Despite the strong growth in service business, orders in </w:t>
      </w:r>
      <w:r w:rsidRPr="003828EB">
        <w:rPr>
          <w:rFonts w:ascii="Arial" w:hAnsi="Arial" w:cs="Arial"/>
          <w:bCs/>
          <w:szCs w:val="20"/>
          <w:lang w:val="en-GB"/>
        </w:rPr>
        <w:t xml:space="preserve">Digital &amp; Web </w:t>
      </w:r>
      <w:r w:rsidRPr="003828EB">
        <w:rPr>
          <w:rFonts w:ascii="Arial" w:hAnsi="Arial" w:cs="Arial"/>
          <w:szCs w:val="20"/>
          <w:lang w:val="en-GB"/>
        </w:rPr>
        <w:t xml:space="preserve">came to €31.9m, thus falling short of the previous year’s figure of €45.2m due to lower orders for newspaper and flexible packaging printing presses. At €32.4m, revenue remained at the </w:t>
      </w:r>
      <w:r w:rsidR="00AF2633">
        <w:rPr>
          <w:rFonts w:ascii="Arial" w:hAnsi="Arial" w:cs="Arial"/>
          <w:szCs w:val="20"/>
          <w:lang w:val="en-GB"/>
        </w:rPr>
        <w:t>prior</w:t>
      </w:r>
      <w:r w:rsidRPr="003828EB">
        <w:rPr>
          <w:rFonts w:ascii="Arial" w:hAnsi="Arial" w:cs="Arial"/>
          <w:szCs w:val="20"/>
          <w:lang w:val="en-GB"/>
        </w:rPr>
        <w:t xml:space="preserve"> year’s level. The previous year’s figure of €32.5m had been spurred by high service revenue due to large press relocations. At –€5.6m (–€4.5m in the previous year), EBIT was burdened by market-entry and growth-related expenses. </w:t>
      </w:r>
      <w:r w:rsidRPr="003828EB">
        <w:rPr>
          <w:rFonts w:ascii="Arial" w:hAnsi="Arial" w:cs="Arial"/>
          <w:color w:val="222222"/>
          <w:szCs w:val="20"/>
          <w:lang w:val="en-GB"/>
        </w:rPr>
        <w:t>At €85.4m, order backlog and capacity utilisation are at a high level</w:t>
      </w:r>
      <w:r w:rsidRPr="003828EB">
        <w:rPr>
          <w:rFonts w:ascii="Arial" w:hAnsi="Arial" w:cs="Arial"/>
          <w:szCs w:val="20"/>
          <w:lang w:val="en-GB"/>
        </w:rPr>
        <w:t>.</w:t>
      </w:r>
    </w:p>
    <w:p w14:paraId="0627A8A4" w14:textId="70F09A36" w:rsidR="00A44634" w:rsidRPr="003828EB" w:rsidRDefault="001A7189" w:rsidP="00A44634">
      <w:pPr>
        <w:pStyle w:val="berschrift3"/>
        <w:rPr>
          <w:lang w:val="en-GB"/>
        </w:rPr>
      </w:pPr>
      <w:r w:rsidRPr="003828EB">
        <w:rPr>
          <w:bCs/>
          <w:lang w:val="en-GB"/>
        </w:rPr>
        <w:t>Significant order and revenue growth</w:t>
      </w:r>
      <w:r w:rsidR="00CE56BD" w:rsidRPr="003828EB">
        <w:rPr>
          <w:bCs/>
          <w:lang w:val="en-GB"/>
        </w:rPr>
        <w:t xml:space="preserve"> in Special</w:t>
      </w:r>
    </w:p>
    <w:p w14:paraId="0627A8A5" w14:textId="6FC5DFBC" w:rsidR="00A44634" w:rsidRPr="003828EB" w:rsidRDefault="001A7189" w:rsidP="00AF2633">
      <w:pPr>
        <w:spacing w:after="240"/>
        <w:ind w:right="423"/>
        <w:rPr>
          <w:szCs w:val="20"/>
          <w:lang w:val="en-GB"/>
        </w:rPr>
      </w:pPr>
      <w:r w:rsidRPr="003828EB">
        <w:rPr>
          <w:rFonts w:ascii="Arial" w:hAnsi="Arial" w:cs="Arial"/>
          <w:szCs w:val="20"/>
          <w:lang w:val="en-GB"/>
        </w:rPr>
        <w:t xml:space="preserve">More orders for services and </w:t>
      </w:r>
      <w:r w:rsidR="00AF2633">
        <w:rPr>
          <w:rFonts w:ascii="Arial" w:hAnsi="Arial" w:cs="Arial"/>
          <w:szCs w:val="20"/>
          <w:lang w:val="en-GB"/>
        </w:rPr>
        <w:t xml:space="preserve">presses for </w:t>
      </w:r>
      <w:r w:rsidRPr="003828EB">
        <w:rPr>
          <w:rFonts w:ascii="Arial" w:hAnsi="Arial" w:cs="Arial"/>
          <w:szCs w:val="20"/>
          <w:lang w:val="en-GB"/>
        </w:rPr>
        <w:t xml:space="preserve">security printing and direct glass decorating caused order intake in the </w:t>
      </w:r>
      <w:r w:rsidRPr="003828EB">
        <w:rPr>
          <w:rFonts w:ascii="Arial" w:hAnsi="Arial" w:cs="Arial"/>
          <w:bCs/>
          <w:szCs w:val="20"/>
          <w:lang w:val="en-GB"/>
        </w:rPr>
        <w:t>Special</w:t>
      </w:r>
      <w:r w:rsidRPr="003828EB">
        <w:rPr>
          <w:rFonts w:ascii="Arial" w:hAnsi="Arial" w:cs="Arial"/>
          <w:szCs w:val="20"/>
          <w:lang w:val="en-GB"/>
        </w:rPr>
        <w:t xml:space="preserve"> segment to rise by 37.7% to €80m. Revenue climbed by 20.8% to €92.8m. At €331.7m, the order backlog at the end of March was 6.2% higher than it had been twelve months earlier. Following a segment profit of €3.8m in the previous year, EBIT came to €2m in the first quarter of 2019.</w:t>
      </w:r>
    </w:p>
    <w:p w14:paraId="0627A8A6" w14:textId="77777777" w:rsidR="00A44634" w:rsidRPr="003828EB" w:rsidRDefault="00324B88" w:rsidP="00A44634">
      <w:pPr>
        <w:pStyle w:val="berschrift3"/>
        <w:rPr>
          <w:lang w:val="en-GB"/>
        </w:rPr>
      </w:pPr>
      <w:r w:rsidRPr="003828EB">
        <w:rPr>
          <w:bCs/>
          <w:lang w:val="en-GB"/>
        </w:rPr>
        <w:lastRenderedPageBreak/>
        <w:t>Solid balance sheet and financial profile</w:t>
      </w:r>
    </w:p>
    <w:p w14:paraId="0627A8A7" w14:textId="3CB1F875" w:rsidR="00A44634" w:rsidRPr="003828EB" w:rsidRDefault="00A2081B" w:rsidP="00A44634">
      <w:pPr>
        <w:spacing w:after="240"/>
        <w:rPr>
          <w:lang w:val="en-GB"/>
        </w:rPr>
      </w:pPr>
      <w:r w:rsidRPr="003828EB">
        <w:rPr>
          <w:lang w:val="en-GB"/>
        </w:rPr>
        <w:t xml:space="preserve">Despite substantially lower receivables and higher customer prepayments, the increase in inventories for revenue growth in future quarters as well as high investments for </w:t>
      </w:r>
      <w:r w:rsidR="00F53973" w:rsidRPr="003828EB">
        <w:rPr>
          <w:lang w:val="en-GB"/>
        </w:rPr>
        <w:t xml:space="preserve">construction and IT projects </w:t>
      </w:r>
      <w:r w:rsidRPr="003828EB">
        <w:rPr>
          <w:lang w:val="en-GB"/>
        </w:rPr>
        <w:t>left traces</w:t>
      </w:r>
      <w:r w:rsidR="00F53973" w:rsidRPr="003828EB">
        <w:rPr>
          <w:lang w:val="en-GB"/>
        </w:rPr>
        <w:t xml:space="preserve"> on the cash flow. In addition, </w:t>
      </w:r>
      <w:r w:rsidRPr="003828EB">
        <w:rPr>
          <w:lang w:val="en-GB"/>
        </w:rPr>
        <w:t xml:space="preserve">we made a part payment of CHF20m to the Swiss </w:t>
      </w:r>
      <w:r w:rsidRPr="003828EB">
        <w:rPr>
          <w:color w:val="0A0F0A"/>
          <w:lang w:val="en-GB"/>
        </w:rPr>
        <w:t xml:space="preserve">Office of the Attorney General </w:t>
      </w:r>
      <w:r w:rsidRPr="003828EB">
        <w:rPr>
          <w:lang w:val="en-GB"/>
        </w:rPr>
        <w:t>within the framework of the agreed skimming of profits</w:t>
      </w:r>
      <w:r w:rsidR="0045400C" w:rsidRPr="003828EB">
        <w:rPr>
          <w:lang w:val="en-GB"/>
        </w:rPr>
        <w:t xml:space="preserve"> following the completion of the </w:t>
      </w:r>
      <w:r w:rsidR="0045400C" w:rsidRPr="003828EB">
        <w:rPr>
          <w:color w:val="0A0F0A"/>
          <w:lang w:val="en-GB"/>
        </w:rPr>
        <w:t xml:space="preserve">self-disclosure proceedings </w:t>
      </w:r>
      <w:r w:rsidR="0045400C" w:rsidRPr="003828EB">
        <w:rPr>
          <w:lang w:val="en-GB"/>
        </w:rPr>
        <w:t xml:space="preserve">in connection with shortcomings </w:t>
      </w:r>
      <w:r w:rsidR="0045400C" w:rsidRPr="003828EB">
        <w:rPr>
          <w:color w:val="0A0F0A"/>
          <w:lang w:val="en-GB"/>
        </w:rPr>
        <w:t>in corruption prevention</w:t>
      </w:r>
      <w:r w:rsidR="0045400C" w:rsidRPr="003828EB">
        <w:rPr>
          <w:lang w:val="en-GB"/>
        </w:rPr>
        <w:t xml:space="preserve"> at the Swiss subsidiary KBA-NotaSys SA</w:t>
      </w:r>
      <w:r w:rsidRPr="003828EB">
        <w:rPr>
          <w:lang w:val="en-GB"/>
        </w:rPr>
        <w:t>.</w:t>
      </w:r>
      <w:r w:rsidR="00F53973" w:rsidRPr="003828EB">
        <w:rPr>
          <w:lang w:val="en-GB"/>
        </w:rPr>
        <w:t xml:space="preserve"> Together with its internal liquidity, the syndicated long-term credit facilities give Koenig &amp; Bauer a strong and stable financial basis. The equity ratio stood at 37.5% at the end of March 2019.</w:t>
      </w:r>
    </w:p>
    <w:p w14:paraId="0627A8A8" w14:textId="0C7D6865" w:rsidR="00A44634" w:rsidRPr="003828EB" w:rsidRDefault="0045400C" w:rsidP="00A44634">
      <w:pPr>
        <w:pStyle w:val="berschrift3"/>
        <w:rPr>
          <w:lang w:val="en-GB"/>
        </w:rPr>
      </w:pPr>
      <w:r w:rsidRPr="003828EB">
        <w:rPr>
          <w:bCs/>
          <w:lang w:val="en-GB"/>
        </w:rPr>
        <w:t>Guidance</w:t>
      </w:r>
      <w:r w:rsidR="00A44634" w:rsidRPr="003828EB">
        <w:rPr>
          <w:bCs/>
          <w:lang w:val="en-GB"/>
        </w:rPr>
        <w:t xml:space="preserve"> for 2019</w:t>
      </w:r>
    </w:p>
    <w:p w14:paraId="0627A8A9" w14:textId="7E3970D7" w:rsidR="00A44634" w:rsidRPr="003828EB" w:rsidRDefault="00A44634" w:rsidP="004B5DBB">
      <w:pPr>
        <w:spacing w:after="240"/>
        <w:ind w:right="-2"/>
        <w:rPr>
          <w:lang w:val="en-GB"/>
        </w:rPr>
      </w:pPr>
      <w:r w:rsidRPr="003828EB">
        <w:rPr>
          <w:lang w:val="en-GB"/>
        </w:rPr>
        <w:t>CFO Mathias Dähn: “</w:t>
      </w:r>
      <w:r w:rsidR="0045400C" w:rsidRPr="003828EB">
        <w:rPr>
          <w:lang w:val="en-GB"/>
        </w:rPr>
        <w:t xml:space="preserve">The order backlog, which rose to €656.6m as of 31 March 2019, gives us good forward visibility through to autumn 2019 and, in security printing with its good order situation, until 2020. With contract signings exceeding our expectations and reaching a figure in the mid double-digit millions of euros, the Print China trade fair held in mid-April was very successful. On the strength of the good order and project situation ensuring full capacity utilisation across the entire </w:t>
      </w:r>
      <w:r w:rsidR="00AF2633">
        <w:rPr>
          <w:lang w:val="en-GB"/>
        </w:rPr>
        <w:t>g</w:t>
      </w:r>
      <w:r w:rsidR="0045400C" w:rsidRPr="003828EB">
        <w:rPr>
          <w:lang w:val="en-GB"/>
        </w:rPr>
        <w:t>roup as well as the further progress made in our group projects for boosting earnings by €70m compared to 2016, we are confident to achieve organic growth of around 4% in revenue and an EBIT margin of around 6% in 2019 in the group. We are attaching particularly high priority to our growth offensive 2023, the cumulative costs of which we expect to reach around €50m for 2019 to 2021, with a heavier load in the first year. The resulting margin impact is already included in our 2019 earnings target.</w:t>
      </w:r>
      <w:r w:rsidRPr="003828EB">
        <w:rPr>
          <w:lang w:val="en-GB"/>
        </w:rPr>
        <w:t>”</w:t>
      </w:r>
    </w:p>
    <w:p w14:paraId="0627A8AA" w14:textId="15F228E6" w:rsidR="00A44634" w:rsidRPr="003828EB" w:rsidRDefault="0045400C" w:rsidP="00A44634">
      <w:pPr>
        <w:pStyle w:val="berschrift3"/>
        <w:rPr>
          <w:lang w:val="en-GB"/>
        </w:rPr>
      </w:pPr>
      <w:r w:rsidRPr="003828EB">
        <w:rPr>
          <w:bCs/>
          <w:lang w:val="en-GB"/>
        </w:rPr>
        <w:t>Mid</w:t>
      </w:r>
      <w:r w:rsidR="00A44634" w:rsidRPr="003828EB">
        <w:rPr>
          <w:bCs/>
          <w:lang w:val="en-GB"/>
        </w:rPr>
        <w:t>-term targets until 2023</w:t>
      </w:r>
    </w:p>
    <w:p w14:paraId="0627A8AB" w14:textId="4EFAEEE7" w:rsidR="00584EAD" w:rsidRPr="003828EB" w:rsidRDefault="00A44634" w:rsidP="00A44634">
      <w:pPr>
        <w:spacing w:after="240"/>
        <w:rPr>
          <w:lang w:val="en-GB"/>
        </w:rPr>
      </w:pPr>
      <w:r w:rsidRPr="003828EB">
        <w:rPr>
          <w:lang w:val="en-GB"/>
        </w:rPr>
        <w:t>CEO Claus Bolza-Schünemann: “</w:t>
      </w:r>
      <w:r w:rsidR="0045400C" w:rsidRPr="003828EB">
        <w:rPr>
          <w:lang w:val="en-GB"/>
        </w:rPr>
        <w:t xml:space="preserve">With our growth offensive 2023, we want to </w:t>
      </w:r>
      <w:r w:rsidR="0045400C" w:rsidRPr="003828EB">
        <w:rPr>
          <w:color w:val="222222"/>
          <w:lang w:val="en-GB"/>
        </w:rPr>
        <w:t>actively exploit the currently available market opportunities</w:t>
      </w:r>
      <w:r w:rsidR="0045400C" w:rsidRPr="003828EB">
        <w:rPr>
          <w:lang w:val="en-GB"/>
        </w:rPr>
        <w:t xml:space="preserve"> in the cardboard, corrugated board, flexible packaging, 2-piece can, marking and coding, glass direct and decor printing as well as in postpress to achieve sustained profitable growth. </w:t>
      </w:r>
      <w:r w:rsidR="0045400C" w:rsidRPr="003828EB">
        <w:rPr>
          <w:color w:val="222222"/>
          <w:lang w:val="en-GB"/>
        </w:rPr>
        <w:t xml:space="preserve">The impact of volatile security printing will be reduced by higher packaging share of </w:t>
      </w:r>
      <w:r w:rsidR="00AF2633">
        <w:rPr>
          <w:color w:val="222222"/>
          <w:lang w:val="en-GB"/>
        </w:rPr>
        <w:t>g</w:t>
      </w:r>
      <w:r w:rsidR="0045400C" w:rsidRPr="003828EB">
        <w:rPr>
          <w:color w:val="222222"/>
          <w:lang w:val="en-GB"/>
        </w:rPr>
        <w:t>roup revenue.</w:t>
      </w:r>
      <w:r w:rsidR="0045400C" w:rsidRPr="003828EB">
        <w:rPr>
          <w:lang w:val="en-GB"/>
        </w:rPr>
        <w:t xml:space="preserve"> For web offset presses for newspaper and commercial printing, we expect a further decline particularly in service business. With all our initiatives and projects, we are targeting to increase group revenue to around €1.5bn with an EBIT margin of between 7 % and 10% until 2023. </w:t>
      </w:r>
      <w:r w:rsidR="0045400C" w:rsidRPr="003828EB">
        <w:rPr>
          <w:color w:val="000000"/>
          <w:lang w:val="en-GB"/>
        </w:rPr>
        <w:t>All three segments are to contribute to the growth in revenue and earnings. Our f</w:t>
      </w:r>
      <w:r w:rsidR="0045400C" w:rsidRPr="003828EB">
        <w:rPr>
          <w:lang w:val="en-GB"/>
        </w:rPr>
        <w:t>urther targets include a dividend ratio of 15 - 35% of group net profit, an equity ratio of over 45%, a target corridor for net working capital of 20 - 25% of revenue, and a share of 30% in total revenue for service business.</w:t>
      </w:r>
      <w:r w:rsidRPr="003828EB">
        <w:rPr>
          <w:color w:val="000000"/>
          <w:lang w:val="en-GB"/>
        </w:rPr>
        <w:t>”</w:t>
      </w:r>
    </w:p>
    <w:p w14:paraId="0627A8AC" w14:textId="77777777" w:rsidR="00C1069D" w:rsidRPr="003828EB" w:rsidRDefault="00C1069D" w:rsidP="00A44634">
      <w:pPr>
        <w:spacing w:after="240"/>
        <w:rPr>
          <w:lang w:val="en-GB"/>
        </w:rPr>
      </w:pPr>
    </w:p>
    <w:p w14:paraId="0627A8AD" w14:textId="77777777" w:rsidR="00BC4F56" w:rsidRPr="003828EB" w:rsidRDefault="00A44634" w:rsidP="00BC4F56">
      <w:pPr>
        <w:pStyle w:val="berschrift4"/>
        <w:rPr>
          <w:lang w:val="en-GB"/>
        </w:rPr>
      </w:pPr>
      <w:r w:rsidRPr="003828EB">
        <w:rPr>
          <w:bCs/>
          <w:iCs w:val="0"/>
          <w:lang w:val="en-GB"/>
        </w:rPr>
        <w:t>Photo 1:</w:t>
      </w:r>
    </w:p>
    <w:p w14:paraId="0627A8AE" w14:textId="4117D569" w:rsidR="006B2D44" w:rsidRPr="003828EB" w:rsidRDefault="00BD7EEE" w:rsidP="00BC4F56">
      <w:pPr>
        <w:spacing w:after="240"/>
        <w:rPr>
          <w:lang w:val="en-GB"/>
        </w:rPr>
      </w:pPr>
      <w:r w:rsidRPr="003828EB">
        <w:rPr>
          <w:rFonts w:cstheme="minorHAnsi"/>
          <w:lang w:val="en-GB"/>
        </w:rPr>
        <w:t xml:space="preserve">The comprehensive range of classic and new, data-based services as well as the Koenig &amp; Bauer 4.0 digitisation concept contributed to the </w:t>
      </w:r>
      <w:r w:rsidR="0045400C" w:rsidRPr="003828EB">
        <w:rPr>
          <w:lang w:val="en-GB"/>
        </w:rPr>
        <w:t>double-digit increase in order intake</w:t>
      </w:r>
    </w:p>
    <w:p w14:paraId="0627A8AF" w14:textId="77777777" w:rsidR="00A44634" w:rsidRPr="003828EB" w:rsidRDefault="00A44634" w:rsidP="00A44634">
      <w:pPr>
        <w:pStyle w:val="berschrift4"/>
        <w:rPr>
          <w:lang w:val="en-GB"/>
        </w:rPr>
      </w:pPr>
      <w:r w:rsidRPr="003828EB">
        <w:rPr>
          <w:bCs/>
          <w:iCs w:val="0"/>
          <w:lang w:val="en-GB"/>
        </w:rPr>
        <w:t>Photo 2:</w:t>
      </w:r>
    </w:p>
    <w:p w14:paraId="0627A8B0" w14:textId="0BABFEC5" w:rsidR="00A44634" w:rsidRPr="003828EB" w:rsidRDefault="0045400C" w:rsidP="00A44634">
      <w:pPr>
        <w:spacing w:after="240"/>
        <w:rPr>
          <w:lang w:val="en-GB"/>
        </w:rPr>
      </w:pPr>
      <w:r w:rsidRPr="003828EB">
        <w:rPr>
          <w:lang w:val="en-GB"/>
        </w:rPr>
        <w:t xml:space="preserve">Additional order boost from </w:t>
      </w:r>
      <w:r w:rsidR="00AF2633">
        <w:rPr>
          <w:lang w:val="en-GB"/>
        </w:rPr>
        <w:t xml:space="preserve">the </w:t>
      </w:r>
      <w:r w:rsidRPr="003828EB">
        <w:rPr>
          <w:lang w:val="en-GB"/>
        </w:rPr>
        <w:t>very successful Print China trade fair in mid-April</w:t>
      </w:r>
    </w:p>
    <w:p w14:paraId="16E59767" w14:textId="77777777" w:rsidR="001F2ED1" w:rsidRPr="003828EB" w:rsidRDefault="001F2ED1" w:rsidP="00A44634">
      <w:pPr>
        <w:spacing w:after="240"/>
        <w:rPr>
          <w:lang w:val="en-GB"/>
        </w:rPr>
      </w:pPr>
    </w:p>
    <w:p w14:paraId="71734C4B" w14:textId="77777777" w:rsidR="0045400C" w:rsidRPr="003828EB" w:rsidRDefault="0045400C" w:rsidP="00A44634">
      <w:pPr>
        <w:spacing w:after="240"/>
        <w:rPr>
          <w:lang w:val="en-GB"/>
        </w:rPr>
      </w:pPr>
    </w:p>
    <w:p w14:paraId="568E4A5E" w14:textId="77777777" w:rsidR="0045400C" w:rsidRPr="003828EB" w:rsidRDefault="0045400C" w:rsidP="00A44634">
      <w:pPr>
        <w:spacing w:after="240"/>
        <w:rPr>
          <w:lang w:val="en-GB"/>
        </w:rPr>
      </w:pPr>
    </w:p>
    <w:p w14:paraId="5E7FD854" w14:textId="77777777" w:rsidR="001F2ED1" w:rsidRPr="00AF2633" w:rsidRDefault="001F2ED1" w:rsidP="001F2ED1">
      <w:pPr>
        <w:pStyle w:val="FlietextStandard"/>
        <w:spacing w:after="240"/>
        <w:rPr>
          <w:rStyle w:val="Hervorhebung"/>
        </w:rPr>
      </w:pPr>
      <w:r w:rsidRPr="00AF2633">
        <w:rPr>
          <w:rStyle w:val="Hervorhebung"/>
        </w:rPr>
        <w:lastRenderedPageBreak/>
        <w:t>Press contact:</w:t>
      </w:r>
    </w:p>
    <w:p w14:paraId="699AF6E3" w14:textId="77777777" w:rsidR="001F2ED1" w:rsidRPr="00AF2633" w:rsidRDefault="001F2ED1" w:rsidP="001F2ED1">
      <w:pPr>
        <w:pStyle w:val="FlietextStandard"/>
        <w:spacing w:after="240"/>
        <w:rPr>
          <w:rStyle w:val="Hyperlink"/>
          <w:rFonts w:eastAsiaTheme="majorEastAsia"/>
        </w:rPr>
      </w:pPr>
      <w:r w:rsidRPr="00AF2633">
        <w:t>Koenig &amp; Bauer AG</w:t>
      </w:r>
      <w:r w:rsidRPr="00AF2633">
        <w:br/>
        <w:t>Investor Relations</w:t>
      </w:r>
      <w:r w:rsidRPr="00AF2633">
        <w:br/>
        <w:t xml:space="preserve">Dr Bernd Heusinger </w:t>
      </w:r>
      <w:r w:rsidRPr="00AF2633">
        <w:br/>
        <w:t>T +49 931 909-4835</w:t>
      </w:r>
      <w:r w:rsidRPr="00AF2633">
        <w:br/>
        <w:t xml:space="preserve">M </w:t>
      </w:r>
      <w:hyperlink r:id="rId8" w:history="1">
        <w:r w:rsidRPr="00AF2633">
          <w:rPr>
            <w:rStyle w:val="Hyperlink"/>
            <w:rFonts w:eastAsiaTheme="majorEastAsia"/>
          </w:rPr>
          <w:t>bernd.heusinger@koenig-bauer.com</w:t>
        </w:r>
      </w:hyperlink>
    </w:p>
    <w:p w14:paraId="78FE63A3" w14:textId="77777777" w:rsidR="001F2ED1" w:rsidRPr="00AF2633" w:rsidRDefault="001F2ED1" w:rsidP="001F2ED1">
      <w:pPr>
        <w:pStyle w:val="FlietextStandard"/>
        <w:spacing w:after="240"/>
      </w:pPr>
    </w:p>
    <w:p w14:paraId="52416A1C" w14:textId="77777777" w:rsidR="001F2ED1" w:rsidRPr="003828EB" w:rsidRDefault="001F2ED1" w:rsidP="001F2ED1">
      <w:pPr>
        <w:pStyle w:val="FlietextStandard"/>
        <w:spacing w:after="240"/>
        <w:rPr>
          <w:lang w:val="en-GB"/>
        </w:rPr>
      </w:pPr>
      <w:r w:rsidRPr="003828EB">
        <w:rPr>
          <w:rStyle w:val="Hervorhebung"/>
          <w:lang w:val="en-GB"/>
        </w:rPr>
        <w:t>About Koenig &amp; Bauer</w:t>
      </w:r>
      <w:r w:rsidRPr="003828EB">
        <w:rPr>
          <w:rStyle w:val="Hervorhebung"/>
          <w:lang w:val="en-GB"/>
        </w:rPr>
        <w:br/>
      </w:r>
      <w:r w:rsidRPr="003828EB">
        <w:rPr>
          <w:lang w:val="en-GB"/>
        </w:rPr>
        <w:t>The Koenig &amp; Bauer group is a customer-centric partner to the international printing industry with annual revenue of over €1.2bn and 5,700 employees. The group is the global market and technology leader in security printing and in growing packaging printing markets. Throughout its 201-year history, it has been driven by innovation and technological progress. Systematically oriented to meeting customer requirements, its high-tech printing presses and systems permit highly efficient printing, finishing and postpress processing. Its services cover a wide range of customer-oriented offerings including networked printing. With its strong balance sheet and financial power, Koenig &amp; Bauer is on a profitable and sustainable growth trajectory.</w:t>
      </w:r>
    </w:p>
    <w:p w14:paraId="3290A4CA" w14:textId="77777777" w:rsidR="001F2ED1" w:rsidRPr="003828EB" w:rsidRDefault="001F2ED1" w:rsidP="001F2ED1">
      <w:pPr>
        <w:pStyle w:val="FlietextStandard"/>
        <w:spacing w:after="240"/>
        <w:rPr>
          <w:rStyle w:val="SchwacheHervorhebung"/>
          <w:lang w:val="en-GB"/>
        </w:rPr>
      </w:pPr>
      <w:r w:rsidRPr="003828EB">
        <w:rPr>
          <w:rStyle w:val="SchwacheHervorhebung"/>
          <w:lang w:val="en-GB"/>
        </w:rPr>
        <w:t xml:space="preserve">For more information, visit </w:t>
      </w:r>
      <w:hyperlink r:id="rId9" w:history="1">
        <w:r w:rsidRPr="003828EB">
          <w:rPr>
            <w:rStyle w:val="SchwacheHervorhebung"/>
            <w:lang w:val="en-GB"/>
          </w:rPr>
          <w:t>www.koenig-bauer.com</w:t>
        </w:r>
      </w:hyperlink>
    </w:p>
    <w:p w14:paraId="720EB372" w14:textId="77777777" w:rsidR="001F2ED1" w:rsidRPr="003828EB" w:rsidRDefault="001F2ED1" w:rsidP="001F2ED1">
      <w:pPr>
        <w:pStyle w:val="FlietextStandard"/>
        <w:spacing w:after="240"/>
        <w:rPr>
          <w:rFonts w:eastAsiaTheme="minorEastAsia"/>
          <w:lang w:val="en-GB"/>
        </w:rPr>
      </w:pPr>
      <w:r w:rsidRPr="003828EB">
        <w:rPr>
          <w:rFonts w:eastAsiaTheme="minorEastAsia"/>
          <w:lang w:val="en-GB"/>
        </w:rPr>
        <w:t>Disclaimer:</w:t>
      </w:r>
      <w:r w:rsidRPr="003828EB">
        <w:rPr>
          <w:rFonts w:eastAsiaTheme="minorEastAsia"/>
          <w:lang w:val="en-GB"/>
        </w:rPr>
        <w:br/>
        <w:t>The projections contained in this press release were founded on data available at the time of issue. While management believes them to be accurate, the impact of external factors beyond its control, such as changes in the economy, exchange rates and in our industry, may give rise to a different outcome from that projected. The outlook contains no meaningful portfolio effects and influences relating to legal and official matters. It also depends on ongoing earnings growth and the absence of disruptive temporary market changes. Koenig &amp; Bauer therefore accepts no liability for transactions based upon these projections.</w:t>
      </w:r>
    </w:p>
    <w:p w14:paraId="390702FE" w14:textId="77777777" w:rsidR="001F2ED1" w:rsidRPr="003828EB" w:rsidRDefault="001F2ED1" w:rsidP="001F2ED1">
      <w:pPr>
        <w:spacing w:after="240"/>
        <w:rPr>
          <w:lang w:val="en-GB"/>
        </w:rPr>
      </w:pPr>
      <w:r w:rsidRPr="003828EB">
        <w:rPr>
          <w:lang w:val="en-GB"/>
        </w:rPr>
        <w:br w:type="page"/>
      </w:r>
    </w:p>
    <w:tbl>
      <w:tblPr>
        <w:tblStyle w:val="KoenigundBauerTabelle"/>
        <w:tblW w:w="9131" w:type="dxa"/>
        <w:tblLook w:val="04A0" w:firstRow="1" w:lastRow="0" w:firstColumn="1" w:lastColumn="0" w:noHBand="0" w:noVBand="1"/>
      </w:tblPr>
      <w:tblGrid>
        <w:gridCol w:w="3518"/>
        <w:gridCol w:w="1871"/>
        <w:gridCol w:w="1871"/>
        <w:gridCol w:w="1871"/>
      </w:tblGrid>
      <w:tr w:rsidR="001F2ED1" w:rsidRPr="003828EB" w14:paraId="415FD084" w14:textId="77777777" w:rsidTr="004C1B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hideMark/>
          </w:tcPr>
          <w:p w14:paraId="5D0A9760" w14:textId="77777777" w:rsidR="001F2ED1" w:rsidRPr="003828EB" w:rsidRDefault="001F2ED1" w:rsidP="004C1B65">
            <w:pPr>
              <w:spacing w:after="240" w:line="280" w:lineRule="auto"/>
              <w:rPr>
                <w:lang w:val="en-GB"/>
              </w:rPr>
            </w:pPr>
            <w:r w:rsidRPr="003828EB">
              <w:rPr>
                <w:lang w:val="en-GB"/>
              </w:rPr>
              <w:lastRenderedPageBreak/>
              <w:t>Koenig &amp; Bauer group</w:t>
            </w:r>
          </w:p>
        </w:tc>
        <w:tc>
          <w:tcPr>
            <w:tcW w:w="1871" w:type="dxa"/>
            <w:hideMark/>
          </w:tcPr>
          <w:p w14:paraId="7A5E1430" w14:textId="68156623" w:rsidR="001F2ED1" w:rsidRPr="003828EB" w:rsidRDefault="001F2ED1" w:rsidP="001F2ED1">
            <w:pPr>
              <w:spacing w:after="240" w:line="280" w:lineRule="auto"/>
              <w:cnfStyle w:val="100000000000" w:firstRow="1" w:lastRow="0" w:firstColumn="0" w:lastColumn="0" w:oddVBand="0" w:evenVBand="0" w:oddHBand="0" w:evenHBand="0" w:firstRowFirstColumn="0" w:firstRowLastColumn="0" w:lastRowFirstColumn="0" w:lastRowLastColumn="0"/>
              <w:rPr>
                <w:lang w:val="en-GB"/>
              </w:rPr>
            </w:pPr>
            <w:r w:rsidRPr="003828EB">
              <w:rPr>
                <w:lang w:val="en-GB"/>
              </w:rPr>
              <w:t>31.03.2018</w:t>
            </w:r>
            <w:r w:rsidRPr="003828EB">
              <w:rPr>
                <w:lang w:val="en-GB"/>
              </w:rPr>
              <w:br/>
              <w:t>in €m</w:t>
            </w:r>
          </w:p>
        </w:tc>
        <w:tc>
          <w:tcPr>
            <w:tcW w:w="1871" w:type="dxa"/>
            <w:hideMark/>
          </w:tcPr>
          <w:p w14:paraId="06397F3C" w14:textId="2BDA9284" w:rsidR="001F2ED1" w:rsidRPr="003828EB" w:rsidRDefault="001F2ED1" w:rsidP="001F2ED1">
            <w:pPr>
              <w:spacing w:after="240" w:line="280" w:lineRule="auto"/>
              <w:cnfStyle w:val="100000000000" w:firstRow="1" w:lastRow="0" w:firstColumn="0" w:lastColumn="0" w:oddVBand="0" w:evenVBand="0" w:oddHBand="0" w:evenHBand="0" w:firstRowFirstColumn="0" w:firstRowLastColumn="0" w:lastRowFirstColumn="0" w:lastRowLastColumn="0"/>
              <w:rPr>
                <w:lang w:val="en-GB"/>
              </w:rPr>
            </w:pPr>
            <w:r w:rsidRPr="003828EB">
              <w:rPr>
                <w:lang w:val="en-GB"/>
              </w:rPr>
              <w:t>31.03.2019</w:t>
            </w:r>
            <w:r w:rsidRPr="003828EB">
              <w:rPr>
                <w:lang w:val="en-GB"/>
              </w:rPr>
              <w:br/>
              <w:t>in €m</w:t>
            </w:r>
          </w:p>
        </w:tc>
        <w:tc>
          <w:tcPr>
            <w:tcW w:w="1871" w:type="dxa"/>
            <w:hideMark/>
          </w:tcPr>
          <w:p w14:paraId="66D2D5C5" w14:textId="77777777" w:rsidR="001F2ED1" w:rsidRPr="003828EB" w:rsidRDefault="001F2ED1" w:rsidP="004C1B65">
            <w:pPr>
              <w:spacing w:after="240" w:line="280" w:lineRule="auto"/>
              <w:cnfStyle w:val="100000000000" w:firstRow="1" w:lastRow="0" w:firstColumn="0" w:lastColumn="0" w:oddVBand="0" w:evenVBand="0" w:oddHBand="0" w:evenHBand="0" w:firstRowFirstColumn="0" w:firstRowLastColumn="0" w:lastRowFirstColumn="0" w:lastRowLastColumn="0"/>
              <w:rPr>
                <w:lang w:val="en-GB"/>
              </w:rPr>
            </w:pPr>
            <w:r w:rsidRPr="003828EB">
              <w:rPr>
                <w:lang w:val="en-GB"/>
              </w:rPr>
              <w:t>Change</w:t>
            </w:r>
          </w:p>
        </w:tc>
      </w:tr>
      <w:tr w:rsidR="001F2ED1" w:rsidRPr="003828EB" w14:paraId="30DFA62C"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13CF2BA7" w14:textId="77777777" w:rsidR="001F2ED1" w:rsidRPr="003828EB" w:rsidRDefault="001F2ED1" w:rsidP="004C1B65">
            <w:pPr>
              <w:spacing w:after="240" w:line="280" w:lineRule="auto"/>
              <w:rPr>
                <w:lang w:val="en-GB"/>
              </w:rPr>
            </w:pPr>
            <w:r w:rsidRPr="003828EB">
              <w:rPr>
                <w:lang w:val="en-GB"/>
              </w:rPr>
              <w:t>Revenue</w:t>
            </w:r>
            <w:r w:rsidRPr="003828EB">
              <w:rPr>
                <w:lang w:val="en-GB"/>
              </w:rPr>
              <w:br/>
            </w:r>
            <w:r w:rsidRPr="003828EB">
              <w:rPr>
                <w:rStyle w:val="Fett"/>
                <w:lang w:val="en-GB"/>
              </w:rPr>
              <w:t>Sheetfed</w:t>
            </w:r>
            <w:r w:rsidRPr="003828EB">
              <w:rPr>
                <w:b w:val="0"/>
                <w:bCs/>
                <w:lang w:val="en-GB"/>
              </w:rPr>
              <w:br/>
            </w:r>
            <w:r w:rsidRPr="003828EB">
              <w:rPr>
                <w:rStyle w:val="Fett"/>
                <w:lang w:val="en-GB"/>
              </w:rPr>
              <w:t>Digital &amp; Web</w:t>
            </w:r>
            <w:r w:rsidRPr="003828EB">
              <w:rPr>
                <w:lang w:val="en-GB"/>
              </w:rPr>
              <w:br/>
            </w:r>
            <w:r w:rsidRPr="003828EB">
              <w:rPr>
                <w:b w:val="0"/>
                <w:lang w:val="en-GB"/>
              </w:rPr>
              <w:t>Special</w:t>
            </w:r>
            <w:r w:rsidRPr="003828EB">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0DCA5507" w14:textId="3B531940"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rStyle w:val="Fett"/>
                <w:b w:val="0"/>
                <w:lang w:val="en-GB"/>
              </w:rPr>
            </w:pPr>
            <w:r w:rsidRPr="003828EB">
              <w:rPr>
                <w:rStyle w:val="Fett"/>
                <w:lang w:val="en-GB"/>
              </w:rPr>
              <w:t>217</w:t>
            </w:r>
            <w:r w:rsidR="0045400C" w:rsidRPr="003828EB">
              <w:rPr>
                <w:rStyle w:val="Fett"/>
                <w:lang w:val="en-GB"/>
              </w:rPr>
              <w:t>.</w:t>
            </w:r>
            <w:r w:rsidRPr="003828EB">
              <w:rPr>
                <w:rStyle w:val="Fett"/>
                <w:lang w:val="en-GB"/>
              </w:rPr>
              <w:t>3</w:t>
            </w:r>
            <w:r w:rsidRPr="003828EB">
              <w:rPr>
                <w:rStyle w:val="Fett"/>
                <w:lang w:val="en-GB"/>
              </w:rPr>
              <w:br/>
            </w:r>
            <w:r w:rsidRPr="003828EB">
              <w:rPr>
                <w:rStyle w:val="Fett"/>
                <w:b w:val="0"/>
                <w:lang w:val="en-GB"/>
              </w:rPr>
              <w:t>111</w:t>
            </w:r>
            <w:r w:rsidR="0045400C" w:rsidRPr="003828EB">
              <w:rPr>
                <w:rStyle w:val="Fett"/>
                <w:b w:val="0"/>
                <w:lang w:val="en-GB"/>
              </w:rPr>
              <w:t>.</w:t>
            </w:r>
            <w:r w:rsidRPr="003828EB">
              <w:rPr>
                <w:rStyle w:val="Fett"/>
                <w:b w:val="0"/>
                <w:lang w:val="en-GB"/>
              </w:rPr>
              <w:t>0</w:t>
            </w:r>
            <w:r w:rsidRPr="003828EB">
              <w:rPr>
                <w:rStyle w:val="Fett"/>
                <w:b w:val="0"/>
                <w:lang w:val="en-GB"/>
              </w:rPr>
              <w:br/>
              <w:t>32</w:t>
            </w:r>
            <w:r w:rsidR="0045400C" w:rsidRPr="003828EB">
              <w:rPr>
                <w:rStyle w:val="Fett"/>
                <w:b w:val="0"/>
                <w:lang w:val="en-GB"/>
              </w:rPr>
              <w:t>.</w:t>
            </w:r>
            <w:r w:rsidRPr="003828EB">
              <w:rPr>
                <w:rStyle w:val="Fett"/>
                <w:b w:val="0"/>
                <w:lang w:val="en-GB"/>
              </w:rPr>
              <w:t>5</w:t>
            </w:r>
            <w:r w:rsidRPr="003828EB">
              <w:rPr>
                <w:rStyle w:val="Fett"/>
                <w:b w:val="0"/>
                <w:lang w:val="en-GB"/>
              </w:rPr>
              <w:br/>
              <w:t>76</w:t>
            </w:r>
            <w:r w:rsidR="0045400C" w:rsidRPr="003828EB">
              <w:rPr>
                <w:rStyle w:val="Fett"/>
                <w:b w:val="0"/>
                <w:lang w:val="en-GB"/>
              </w:rPr>
              <w:t>.</w:t>
            </w:r>
            <w:r w:rsidRPr="003828EB">
              <w:rPr>
                <w:rStyle w:val="Fett"/>
                <w:b w:val="0"/>
                <w:lang w:val="en-GB"/>
              </w:rPr>
              <w:t>8</w:t>
            </w:r>
            <w:r w:rsidRPr="003828EB">
              <w:rPr>
                <w:rStyle w:val="Fett"/>
                <w:b w:val="0"/>
                <w:lang w:val="en-GB"/>
              </w:rPr>
              <w:br/>
              <w:t>-3</w:t>
            </w:r>
            <w:r w:rsidR="0045400C" w:rsidRPr="003828EB">
              <w:rPr>
                <w:rStyle w:val="Fett"/>
                <w:b w:val="0"/>
                <w:lang w:val="en-GB"/>
              </w:rPr>
              <w:t>.</w:t>
            </w:r>
            <w:r w:rsidRPr="003828EB">
              <w:rPr>
                <w:rStyle w:val="Fett"/>
                <w:b w:val="0"/>
                <w:lang w:val="en-GB"/>
              </w:rPr>
              <w:t>0</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262C993A" w14:textId="5B3B1754"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3828EB">
              <w:rPr>
                <w:b/>
                <w:lang w:val="en-GB"/>
              </w:rPr>
              <w:t>230</w:t>
            </w:r>
            <w:r w:rsidR="0045400C" w:rsidRPr="003828EB">
              <w:rPr>
                <w:b/>
                <w:lang w:val="en-GB"/>
              </w:rPr>
              <w:t>.</w:t>
            </w:r>
            <w:r w:rsidRPr="003828EB">
              <w:rPr>
                <w:b/>
                <w:lang w:val="en-GB"/>
              </w:rPr>
              <w:t>7</w:t>
            </w:r>
            <w:r w:rsidRPr="003828EB">
              <w:rPr>
                <w:lang w:val="en-GB"/>
              </w:rPr>
              <w:br/>
              <w:t>113</w:t>
            </w:r>
            <w:r w:rsidR="0045400C" w:rsidRPr="003828EB">
              <w:rPr>
                <w:lang w:val="en-GB"/>
              </w:rPr>
              <w:t>.</w:t>
            </w:r>
            <w:r w:rsidRPr="003828EB">
              <w:rPr>
                <w:lang w:val="en-GB"/>
              </w:rPr>
              <w:t>0</w:t>
            </w:r>
            <w:r w:rsidRPr="003828EB">
              <w:rPr>
                <w:lang w:val="en-GB"/>
              </w:rPr>
              <w:br/>
              <w:t>32</w:t>
            </w:r>
            <w:r w:rsidR="0045400C" w:rsidRPr="003828EB">
              <w:rPr>
                <w:lang w:val="en-GB"/>
              </w:rPr>
              <w:t>.</w:t>
            </w:r>
            <w:r w:rsidRPr="003828EB">
              <w:rPr>
                <w:lang w:val="en-GB"/>
              </w:rPr>
              <w:t>4</w:t>
            </w:r>
            <w:r w:rsidRPr="003828EB">
              <w:rPr>
                <w:lang w:val="en-GB"/>
              </w:rPr>
              <w:br/>
              <w:t>92</w:t>
            </w:r>
            <w:r w:rsidR="0045400C" w:rsidRPr="003828EB">
              <w:rPr>
                <w:lang w:val="en-GB"/>
              </w:rPr>
              <w:t>.</w:t>
            </w:r>
            <w:r w:rsidRPr="003828EB">
              <w:rPr>
                <w:lang w:val="en-GB"/>
              </w:rPr>
              <w:t>8</w:t>
            </w:r>
            <w:r w:rsidRPr="003828EB">
              <w:rPr>
                <w:lang w:val="en-GB"/>
              </w:rPr>
              <w:br/>
              <w:t>-7</w:t>
            </w:r>
            <w:r w:rsidR="0045400C" w:rsidRPr="003828EB">
              <w:rPr>
                <w:lang w:val="en-GB"/>
              </w:rPr>
              <w:t>.</w:t>
            </w:r>
            <w:r w:rsidRPr="003828EB">
              <w:rPr>
                <w:lang w:val="en-GB"/>
              </w:rPr>
              <w:t>5</w:t>
            </w:r>
          </w:p>
        </w:tc>
        <w:tc>
          <w:tcPr>
            <w:tcW w:w="1871" w:type="dxa"/>
            <w:tcBorders>
              <w:top w:val="single" w:sz="4" w:space="0" w:color="auto"/>
              <w:left w:val="single" w:sz="48" w:space="0" w:color="FFFFFF" w:themeColor="background1"/>
              <w:bottom w:val="single" w:sz="4" w:space="0" w:color="auto"/>
              <w:right w:val="nil"/>
            </w:tcBorders>
            <w:hideMark/>
          </w:tcPr>
          <w:p w14:paraId="17FF1BF1" w14:textId="604DD806"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3828EB">
              <w:rPr>
                <w:b/>
                <w:lang w:val="en-GB"/>
              </w:rPr>
              <w:t>+ 6</w:t>
            </w:r>
            <w:r w:rsidR="0045400C" w:rsidRPr="003828EB">
              <w:rPr>
                <w:b/>
                <w:lang w:val="en-GB"/>
              </w:rPr>
              <w:t>.</w:t>
            </w:r>
            <w:r w:rsidRPr="003828EB">
              <w:rPr>
                <w:b/>
                <w:lang w:val="en-GB"/>
              </w:rPr>
              <w:t>2 %</w:t>
            </w:r>
            <w:r w:rsidRPr="003828EB">
              <w:rPr>
                <w:lang w:val="en-GB"/>
              </w:rPr>
              <w:br/>
              <w:t>+ 1</w:t>
            </w:r>
            <w:r w:rsidR="0045400C" w:rsidRPr="003828EB">
              <w:rPr>
                <w:lang w:val="en-GB"/>
              </w:rPr>
              <w:t>.</w:t>
            </w:r>
            <w:r w:rsidRPr="003828EB">
              <w:rPr>
                <w:lang w:val="en-GB"/>
              </w:rPr>
              <w:t>8 %</w:t>
            </w:r>
            <w:r w:rsidRPr="003828EB">
              <w:rPr>
                <w:lang w:val="en-GB"/>
              </w:rPr>
              <w:br/>
              <w:t>- 0</w:t>
            </w:r>
            <w:r w:rsidR="0045400C" w:rsidRPr="003828EB">
              <w:rPr>
                <w:lang w:val="en-GB"/>
              </w:rPr>
              <w:t>.</w:t>
            </w:r>
            <w:r w:rsidRPr="003828EB">
              <w:rPr>
                <w:lang w:val="en-GB"/>
              </w:rPr>
              <w:t>3 %</w:t>
            </w:r>
            <w:r w:rsidRPr="003828EB">
              <w:rPr>
                <w:lang w:val="en-GB"/>
              </w:rPr>
              <w:br/>
              <w:t>+ 20</w:t>
            </w:r>
            <w:r w:rsidR="0045400C" w:rsidRPr="003828EB">
              <w:rPr>
                <w:lang w:val="en-GB"/>
              </w:rPr>
              <w:t>.</w:t>
            </w:r>
            <w:r w:rsidRPr="003828EB">
              <w:rPr>
                <w:lang w:val="en-GB"/>
              </w:rPr>
              <w:t>8 %</w:t>
            </w:r>
          </w:p>
        </w:tc>
      </w:tr>
      <w:tr w:rsidR="001F2ED1" w:rsidRPr="003828EB" w14:paraId="126BADD1"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0EF6B39D" w14:textId="77777777" w:rsidR="001F2ED1" w:rsidRPr="003828EB" w:rsidRDefault="001F2ED1" w:rsidP="004C1B65">
            <w:pPr>
              <w:spacing w:after="240" w:line="280" w:lineRule="auto"/>
              <w:rPr>
                <w:lang w:val="en-GB"/>
              </w:rPr>
            </w:pPr>
            <w:r w:rsidRPr="003828EB">
              <w:rPr>
                <w:lang w:val="en-GB"/>
              </w:rPr>
              <w:t>Order intake</w:t>
            </w:r>
            <w:r w:rsidRPr="003828EB">
              <w:rPr>
                <w:lang w:val="en-GB"/>
              </w:rPr>
              <w:br/>
            </w:r>
            <w:r w:rsidRPr="003828EB">
              <w:rPr>
                <w:rStyle w:val="Fett"/>
                <w:lang w:val="en-GB"/>
              </w:rPr>
              <w:t>Sheetfed</w:t>
            </w:r>
            <w:r w:rsidRPr="003828EB">
              <w:rPr>
                <w:b w:val="0"/>
                <w:bCs/>
                <w:lang w:val="en-GB"/>
              </w:rPr>
              <w:br/>
            </w:r>
            <w:r w:rsidRPr="003828EB">
              <w:rPr>
                <w:rStyle w:val="Fett"/>
                <w:lang w:val="en-GB"/>
              </w:rPr>
              <w:t>Digital &amp; Web</w:t>
            </w:r>
            <w:r w:rsidRPr="003828EB">
              <w:rPr>
                <w:lang w:val="en-GB"/>
              </w:rPr>
              <w:br/>
            </w:r>
            <w:r w:rsidRPr="003828EB">
              <w:rPr>
                <w:b w:val="0"/>
                <w:lang w:val="en-GB"/>
              </w:rPr>
              <w:t>Special</w:t>
            </w:r>
            <w:r w:rsidRPr="003828EB">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29554868" w14:textId="3F0BC78A"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3828EB">
              <w:rPr>
                <w:b/>
                <w:lang w:val="en-GB"/>
              </w:rPr>
              <w:t>250</w:t>
            </w:r>
            <w:r w:rsidR="0045400C" w:rsidRPr="003828EB">
              <w:rPr>
                <w:b/>
                <w:lang w:val="en-GB"/>
              </w:rPr>
              <w:t>.</w:t>
            </w:r>
            <w:r w:rsidRPr="003828EB">
              <w:rPr>
                <w:b/>
                <w:lang w:val="en-GB"/>
              </w:rPr>
              <w:t>9</w:t>
            </w:r>
            <w:r w:rsidRPr="003828EB">
              <w:rPr>
                <w:lang w:val="en-GB"/>
              </w:rPr>
              <w:br/>
              <w:t>154</w:t>
            </w:r>
            <w:r w:rsidR="0045400C" w:rsidRPr="003828EB">
              <w:rPr>
                <w:lang w:val="en-GB"/>
              </w:rPr>
              <w:t>.</w:t>
            </w:r>
            <w:r w:rsidRPr="003828EB">
              <w:rPr>
                <w:lang w:val="en-GB"/>
              </w:rPr>
              <w:t>3</w:t>
            </w:r>
            <w:r w:rsidRPr="003828EB">
              <w:rPr>
                <w:lang w:val="en-GB"/>
              </w:rPr>
              <w:br/>
              <w:t>45</w:t>
            </w:r>
            <w:r w:rsidR="0045400C" w:rsidRPr="003828EB">
              <w:rPr>
                <w:lang w:val="en-GB"/>
              </w:rPr>
              <w:t>.</w:t>
            </w:r>
            <w:r w:rsidRPr="003828EB">
              <w:rPr>
                <w:lang w:val="en-GB"/>
              </w:rPr>
              <w:t>2</w:t>
            </w:r>
            <w:r w:rsidRPr="003828EB">
              <w:rPr>
                <w:lang w:val="en-GB"/>
              </w:rPr>
              <w:br/>
              <w:t>58</w:t>
            </w:r>
            <w:r w:rsidR="0045400C" w:rsidRPr="003828EB">
              <w:rPr>
                <w:lang w:val="en-GB"/>
              </w:rPr>
              <w:t>.</w:t>
            </w:r>
            <w:r w:rsidRPr="003828EB">
              <w:rPr>
                <w:lang w:val="en-GB"/>
              </w:rPr>
              <w:t>1</w:t>
            </w:r>
            <w:r w:rsidRPr="003828EB">
              <w:rPr>
                <w:lang w:val="en-GB"/>
              </w:rPr>
              <w:br/>
              <w:t>-6</w:t>
            </w:r>
            <w:r w:rsidR="0045400C" w:rsidRPr="003828EB">
              <w:rPr>
                <w:lang w:val="en-GB"/>
              </w:rPr>
              <w:t>.</w:t>
            </w:r>
            <w:r w:rsidRPr="003828EB">
              <w:rPr>
                <w:lang w:val="en-GB"/>
              </w:rPr>
              <w:t>7</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7C7845D" w14:textId="1CCADE2A"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3828EB">
              <w:rPr>
                <w:rStyle w:val="Fett"/>
                <w:lang w:val="en-GB"/>
              </w:rPr>
              <w:t>276</w:t>
            </w:r>
            <w:r w:rsidR="0045400C" w:rsidRPr="003828EB">
              <w:rPr>
                <w:rStyle w:val="Fett"/>
                <w:lang w:val="en-GB"/>
              </w:rPr>
              <w:t>.</w:t>
            </w:r>
            <w:r w:rsidRPr="003828EB">
              <w:rPr>
                <w:rStyle w:val="Fett"/>
                <w:lang w:val="en-GB"/>
              </w:rPr>
              <w:t>4</w:t>
            </w:r>
            <w:r w:rsidRPr="003828EB">
              <w:rPr>
                <w:lang w:val="en-GB"/>
              </w:rPr>
              <w:br/>
              <w:t>173</w:t>
            </w:r>
            <w:r w:rsidR="0045400C" w:rsidRPr="003828EB">
              <w:rPr>
                <w:lang w:val="en-GB"/>
              </w:rPr>
              <w:t>.</w:t>
            </w:r>
            <w:r w:rsidRPr="003828EB">
              <w:rPr>
                <w:lang w:val="en-GB"/>
              </w:rPr>
              <w:t>5</w:t>
            </w:r>
            <w:r w:rsidRPr="003828EB">
              <w:rPr>
                <w:lang w:val="en-GB"/>
              </w:rPr>
              <w:br/>
              <w:t>31</w:t>
            </w:r>
            <w:r w:rsidR="0045400C" w:rsidRPr="003828EB">
              <w:rPr>
                <w:lang w:val="en-GB"/>
              </w:rPr>
              <w:t>.</w:t>
            </w:r>
            <w:r w:rsidRPr="003828EB">
              <w:rPr>
                <w:lang w:val="en-GB"/>
              </w:rPr>
              <w:t>9</w:t>
            </w:r>
            <w:r w:rsidRPr="003828EB">
              <w:rPr>
                <w:lang w:val="en-GB"/>
              </w:rPr>
              <w:br/>
              <w:t>80</w:t>
            </w:r>
            <w:r w:rsidR="0045400C" w:rsidRPr="003828EB">
              <w:rPr>
                <w:lang w:val="en-GB"/>
              </w:rPr>
              <w:t>.</w:t>
            </w:r>
            <w:r w:rsidRPr="003828EB">
              <w:rPr>
                <w:lang w:val="en-GB"/>
              </w:rPr>
              <w:t>0</w:t>
            </w:r>
            <w:r w:rsidRPr="003828EB">
              <w:rPr>
                <w:lang w:val="en-GB"/>
              </w:rPr>
              <w:br/>
              <w:t>-9</w:t>
            </w:r>
            <w:r w:rsidR="0045400C" w:rsidRPr="003828EB">
              <w:rPr>
                <w:lang w:val="en-GB"/>
              </w:rPr>
              <w:t>.</w:t>
            </w:r>
            <w:r w:rsidRPr="003828EB">
              <w:rPr>
                <w:lang w:val="en-GB"/>
              </w:rPr>
              <w:t>0</w:t>
            </w:r>
          </w:p>
        </w:tc>
        <w:tc>
          <w:tcPr>
            <w:tcW w:w="1871" w:type="dxa"/>
            <w:tcBorders>
              <w:top w:val="single" w:sz="4" w:space="0" w:color="auto"/>
              <w:left w:val="single" w:sz="48" w:space="0" w:color="FFFFFF" w:themeColor="background1"/>
              <w:bottom w:val="single" w:sz="4" w:space="0" w:color="auto"/>
              <w:right w:val="nil"/>
            </w:tcBorders>
            <w:hideMark/>
          </w:tcPr>
          <w:p w14:paraId="4C2DC1AB" w14:textId="4EB9C6D2"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3828EB">
              <w:rPr>
                <w:rStyle w:val="Fett"/>
                <w:lang w:val="en-GB"/>
              </w:rPr>
              <w:t>+ 10</w:t>
            </w:r>
            <w:r w:rsidR="0045400C" w:rsidRPr="003828EB">
              <w:rPr>
                <w:rStyle w:val="Fett"/>
                <w:lang w:val="en-GB"/>
              </w:rPr>
              <w:t>.</w:t>
            </w:r>
            <w:r w:rsidRPr="003828EB">
              <w:rPr>
                <w:rStyle w:val="Fett"/>
                <w:lang w:val="en-GB"/>
              </w:rPr>
              <w:t>2 %</w:t>
            </w:r>
            <w:r w:rsidRPr="003828EB">
              <w:rPr>
                <w:lang w:val="en-GB"/>
              </w:rPr>
              <w:br/>
              <w:t>+ 12</w:t>
            </w:r>
            <w:r w:rsidR="0045400C" w:rsidRPr="003828EB">
              <w:rPr>
                <w:lang w:val="en-GB"/>
              </w:rPr>
              <w:t>.</w:t>
            </w:r>
            <w:r w:rsidRPr="003828EB">
              <w:rPr>
                <w:lang w:val="en-GB"/>
              </w:rPr>
              <w:t>4 %</w:t>
            </w:r>
            <w:r w:rsidRPr="003828EB">
              <w:rPr>
                <w:lang w:val="en-GB"/>
              </w:rPr>
              <w:br/>
              <w:t>- 29</w:t>
            </w:r>
            <w:r w:rsidR="0045400C" w:rsidRPr="003828EB">
              <w:rPr>
                <w:lang w:val="en-GB"/>
              </w:rPr>
              <w:t>.</w:t>
            </w:r>
            <w:r w:rsidRPr="003828EB">
              <w:rPr>
                <w:lang w:val="en-GB"/>
              </w:rPr>
              <w:t>4 %</w:t>
            </w:r>
            <w:r w:rsidRPr="003828EB">
              <w:rPr>
                <w:lang w:val="en-GB"/>
              </w:rPr>
              <w:br/>
              <w:t>+ 37</w:t>
            </w:r>
            <w:r w:rsidR="0045400C" w:rsidRPr="003828EB">
              <w:rPr>
                <w:lang w:val="en-GB"/>
              </w:rPr>
              <w:t>.</w:t>
            </w:r>
            <w:r w:rsidRPr="003828EB">
              <w:rPr>
                <w:lang w:val="en-GB"/>
              </w:rPr>
              <w:t>7 %</w:t>
            </w:r>
          </w:p>
        </w:tc>
      </w:tr>
      <w:tr w:rsidR="001F2ED1" w:rsidRPr="003828EB" w14:paraId="40DD1536"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47F7E598" w14:textId="77777777" w:rsidR="001F2ED1" w:rsidRPr="003828EB" w:rsidRDefault="001F2ED1" w:rsidP="004C1B65">
            <w:pPr>
              <w:spacing w:after="240" w:line="280" w:lineRule="auto"/>
              <w:rPr>
                <w:lang w:val="en-GB"/>
              </w:rPr>
            </w:pPr>
            <w:r w:rsidRPr="003828EB">
              <w:rPr>
                <w:lang w:val="en-GB"/>
              </w:rPr>
              <w:t>Order backlog</w:t>
            </w:r>
            <w:r w:rsidRPr="003828EB">
              <w:rPr>
                <w:lang w:val="en-GB"/>
              </w:rPr>
              <w:br/>
            </w:r>
            <w:r w:rsidRPr="003828EB">
              <w:rPr>
                <w:rStyle w:val="Fett"/>
                <w:lang w:val="en-GB"/>
              </w:rPr>
              <w:t>Sheetfed</w:t>
            </w:r>
            <w:r w:rsidRPr="003828EB">
              <w:rPr>
                <w:b w:val="0"/>
                <w:bCs/>
                <w:lang w:val="en-GB"/>
              </w:rPr>
              <w:br/>
            </w:r>
            <w:r w:rsidRPr="003828EB">
              <w:rPr>
                <w:rStyle w:val="Fett"/>
                <w:lang w:val="en-GB"/>
              </w:rPr>
              <w:t>Digital &amp; Web</w:t>
            </w:r>
            <w:r w:rsidRPr="003828EB">
              <w:rPr>
                <w:lang w:val="en-GB"/>
              </w:rPr>
              <w:br/>
            </w:r>
            <w:r w:rsidRPr="003828EB">
              <w:rPr>
                <w:b w:val="0"/>
                <w:lang w:val="en-GB"/>
              </w:rPr>
              <w:t>Special</w:t>
            </w:r>
            <w:r w:rsidRPr="003828EB">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0C2FDAAE" w14:textId="3A95AAFE"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3828EB">
              <w:rPr>
                <w:rStyle w:val="Fett"/>
                <w:lang w:val="en-GB"/>
              </w:rPr>
              <w:t>648</w:t>
            </w:r>
            <w:r w:rsidR="0045400C" w:rsidRPr="003828EB">
              <w:rPr>
                <w:rStyle w:val="Fett"/>
                <w:lang w:val="en-GB"/>
              </w:rPr>
              <w:t>.</w:t>
            </w:r>
            <w:r w:rsidRPr="003828EB">
              <w:rPr>
                <w:rStyle w:val="Fett"/>
                <w:lang w:val="en-GB"/>
              </w:rPr>
              <w:t>5</w:t>
            </w:r>
            <w:r w:rsidRPr="003828EB">
              <w:rPr>
                <w:lang w:val="en-GB"/>
              </w:rPr>
              <w:br/>
              <w:t>274</w:t>
            </w:r>
            <w:r w:rsidR="0045400C" w:rsidRPr="003828EB">
              <w:rPr>
                <w:lang w:val="en-GB"/>
              </w:rPr>
              <w:t>.</w:t>
            </w:r>
            <w:r w:rsidRPr="003828EB">
              <w:rPr>
                <w:lang w:val="en-GB"/>
              </w:rPr>
              <w:t>9</w:t>
            </w:r>
            <w:r w:rsidRPr="003828EB">
              <w:rPr>
                <w:lang w:val="en-GB"/>
              </w:rPr>
              <w:br/>
              <w:t>75</w:t>
            </w:r>
            <w:r w:rsidR="0045400C" w:rsidRPr="003828EB">
              <w:rPr>
                <w:lang w:val="en-GB"/>
              </w:rPr>
              <w:t>.</w:t>
            </w:r>
            <w:r w:rsidRPr="003828EB">
              <w:rPr>
                <w:lang w:val="en-GB"/>
              </w:rPr>
              <w:t>2</w:t>
            </w:r>
            <w:r w:rsidRPr="003828EB">
              <w:rPr>
                <w:lang w:val="en-GB"/>
              </w:rPr>
              <w:br/>
              <w:t>312</w:t>
            </w:r>
            <w:r w:rsidR="0045400C" w:rsidRPr="003828EB">
              <w:rPr>
                <w:lang w:val="en-GB"/>
              </w:rPr>
              <w:t>.</w:t>
            </w:r>
            <w:r w:rsidRPr="003828EB">
              <w:rPr>
                <w:lang w:val="en-GB"/>
              </w:rPr>
              <w:t>2</w:t>
            </w:r>
            <w:r w:rsidRPr="003828EB">
              <w:rPr>
                <w:lang w:val="en-GB"/>
              </w:rPr>
              <w:br/>
              <w:t>-13</w:t>
            </w:r>
            <w:r w:rsidR="0045400C" w:rsidRPr="003828EB">
              <w:rPr>
                <w:lang w:val="en-GB"/>
              </w:rPr>
              <w:t>.</w:t>
            </w:r>
            <w:r w:rsidRPr="003828EB">
              <w:rPr>
                <w:lang w:val="en-GB"/>
              </w:rPr>
              <w:t>8</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22E4EC40" w14:textId="5C70C750"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3828EB">
              <w:rPr>
                <w:rStyle w:val="Fett"/>
                <w:lang w:val="en-GB"/>
              </w:rPr>
              <w:t>656</w:t>
            </w:r>
            <w:r w:rsidR="0045400C" w:rsidRPr="003828EB">
              <w:rPr>
                <w:rStyle w:val="Fett"/>
                <w:lang w:val="en-GB"/>
              </w:rPr>
              <w:t>.</w:t>
            </w:r>
            <w:r w:rsidRPr="003828EB">
              <w:rPr>
                <w:rStyle w:val="Fett"/>
                <w:lang w:val="en-GB"/>
              </w:rPr>
              <w:t>6</w:t>
            </w:r>
            <w:r w:rsidRPr="003828EB">
              <w:rPr>
                <w:lang w:val="en-GB"/>
              </w:rPr>
              <w:br/>
              <w:t>250</w:t>
            </w:r>
            <w:r w:rsidR="0045400C" w:rsidRPr="003828EB">
              <w:rPr>
                <w:lang w:val="en-GB"/>
              </w:rPr>
              <w:t>.</w:t>
            </w:r>
            <w:r w:rsidRPr="003828EB">
              <w:rPr>
                <w:lang w:val="en-GB"/>
              </w:rPr>
              <w:t>5</w:t>
            </w:r>
            <w:r w:rsidRPr="003828EB">
              <w:rPr>
                <w:lang w:val="en-GB"/>
              </w:rPr>
              <w:br/>
              <w:t>85</w:t>
            </w:r>
            <w:r w:rsidR="0045400C" w:rsidRPr="003828EB">
              <w:rPr>
                <w:lang w:val="en-GB"/>
              </w:rPr>
              <w:t>.</w:t>
            </w:r>
            <w:r w:rsidRPr="003828EB">
              <w:rPr>
                <w:lang w:val="en-GB"/>
              </w:rPr>
              <w:t>4</w:t>
            </w:r>
            <w:r w:rsidRPr="003828EB">
              <w:rPr>
                <w:lang w:val="en-GB"/>
              </w:rPr>
              <w:br/>
              <w:t>331</w:t>
            </w:r>
            <w:r w:rsidR="0045400C" w:rsidRPr="003828EB">
              <w:rPr>
                <w:lang w:val="en-GB"/>
              </w:rPr>
              <w:t>.</w:t>
            </w:r>
            <w:r w:rsidRPr="003828EB">
              <w:rPr>
                <w:lang w:val="en-GB"/>
              </w:rPr>
              <w:t>7</w:t>
            </w:r>
            <w:r w:rsidRPr="003828EB">
              <w:rPr>
                <w:lang w:val="en-GB"/>
              </w:rPr>
              <w:br/>
              <w:t>-11</w:t>
            </w:r>
            <w:r w:rsidR="0045400C" w:rsidRPr="003828EB">
              <w:rPr>
                <w:lang w:val="en-GB"/>
              </w:rPr>
              <w:t>.</w:t>
            </w:r>
            <w:r w:rsidRPr="003828EB">
              <w:rPr>
                <w:lang w:val="en-GB"/>
              </w:rPr>
              <w:t>0</w:t>
            </w:r>
          </w:p>
        </w:tc>
        <w:tc>
          <w:tcPr>
            <w:tcW w:w="1871" w:type="dxa"/>
            <w:tcBorders>
              <w:top w:val="single" w:sz="4" w:space="0" w:color="auto"/>
              <w:left w:val="single" w:sz="48" w:space="0" w:color="FFFFFF" w:themeColor="background1"/>
              <w:bottom w:val="single" w:sz="4" w:space="0" w:color="auto"/>
              <w:right w:val="nil"/>
            </w:tcBorders>
            <w:hideMark/>
          </w:tcPr>
          <w:p w14:paraId="43481F14" w14:textId="003AE0B8"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3828EB">
              <w:rPr>
                <w:rStyle w:val="Fett"/>
                <w:lang w:val="en-GB"/>
              </w:rPr>
              <w:t>+ 1</w:t>
            </w:r>
            <w:r w:rsidR="0045400C" w:rsidRPr="003828EB">
              <w:rPr>
                <w:rStyle w:val="Fett"/>
                <w:lang w:val="en-GB"/>
              </w:rPr>
              <w:t>.</w:t>
            </w:r>
            <w:r w:rsidRPr="003828EB">
              <w:rPr>
                <w:rStyle w:val="Fett"/>
                <w:lang w:val="en-GB"/>
              </w:rPr>
              <w:t>2 %</w:t>
            </w:r>
            <w:r w:rsidRPr="003828EB">
              <w:rPr>
                <w:lang w:val="en-GB"/>
              </w:rPr>
              <w:br/>
              <w:t>- 8</w:t>
            </w:r>
            <w:r w:rsidR="0045400C" w:rsidRPr="003828EB">
              <w:rPr>
                <w:lang w:val="en-GB"/>
              </w:rPr>
              <w:t>.</w:t>
            </w:r>
            <w:r w:rsidRPr="003828EB">
              <w:rPr>
                <w:lang w:val="en-GB"/>
              </w:rPr>
              <w:t>9 %</w:t>
            </w:r>
            <w:r w:rsidRPr="003828EB">
              <w:rPr>
                <w:lang w:val="en-GB"/>
              </w:rPr>
              <w:br/>
              <w:t>+ 13</w:t>
            </w:r>
            <w:r w:rsidR="0045400C" w:rsidRPr="003828EB">
              <w:rPr>
                <w:lang w:val="en-GB"/>
              </w:rPr>
              <w:t>.</w:t>
            </w:r>
            <w:r w:rsidRPr="003828EB">
              <w:rPr>
                <w:lang w:val="en-GB"/>
              </w:rPr>
              <w:t>6 %</w:t>
            </w:r>
            <w:r w:rsidRPr="003828EB">
              <w:rPr>
                <w:lang w:val="en-GB"/>
              </w:rPr>
              <w:br/>
              <w:t>+ 6</w:t>
            </w:r>
            <w:r w:rsidR="0045400C" w:rsidRPr="003828EB">
              <w:rPr>
                <w:lang w:val="en-GB"/>
              </w:rPr>
              <w:t>.</w:t>
            </w:r>
            <w:r w:rsidRPr="003828EB">
              <w:rPr>
                <w:lang w:val="en-GB"/>
              </w:rPr>
              <w:t>2 %</w:t>
            </w:r>
          </w:p>
        </w:tc>
      </w:tr>
      <w:tr w:rsidR="001F2ED1" w:rsidRPr="003828EB" w14:paraId="29932C80"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7C839560" w14:textId="77777777" w:rsidR="001F2ED1" w:rsidRPr="003828EB" w:rsidRDefault="001F2ED1" w:rsidP="004C1B65">
            <w:pPr>
              <w:spacing w:after="240" w:line="280" w:lineRule="auto"/>
              <w:rPr>
                <w:lang w:val="en-GB"/>
              </w:rPr>
            </w:pPr>
            <w:r w:rsidRPr="003828EB">
              <w:rPr>
                <w:lang w:val="en-GB"/>
              </w:rPr>
              <w:t>EBIT</w:t>
            </w:r>
            <w:r w:rsidRPr="003828EB">
              <w:rPr>
                <w:lang w:val="en-GB"/>
              </w:rPr>
              <w:br/>
            </w:r>
            <w:r w:rsidRPr="003828EB">
              <w:rPr>
                <w:rStyle w:val="Fett"/>
                <w:lang w:val="en-GB"/>
              </w:rPr>
              <w:t>Sheetfed</w:t>
            </w:r>
            <w:r w:rsidRPr="003828EB">
              <w:rPr>
                <w:b w:val="0"/>
                <w:bCs/>
                <w:lang w:val="en-GB"/>
              </w:rPr>
              <w:br/>
            </w:r>
            <w:r w:rsidRPr="003828EB">
              <w:rPr>
                <w:rStyle w:val="Fett"/>
                <w:lang w:val="en-GB"/>
              </w:rPr>
              <w:t>Digital &amp; Web</w:t>
            </w:r>
            <w:r w:rsidRPr="003828EB">
              <w:rPr>
                <w:lang w:val="en-GB"/>
              </w:rPr>
              <w:br/>
            </w:r>
            <w:r w:rsidRPr="003828EB">
              <w:rPr>
                <w:b w:val="0"/>
                <w:lang w:val="en-GB"/>
              </w:rPr>
              <w:t>Special</w:t>
            </w:r>
            <w:r w:rsidRPr="003828EB">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F067F21" w14:textId="1025D5D6"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3828EB">
              <w:rPr>
                <w:rStyle w:val="Fett"/>
                <w:lang w:val="en-GB"/>
              </w:rPr>
              <w:t>-1</w:t>
            </w:r>
            <w:r w:rsidR="0045400C" w:rsidRPr="003828EB">
              <w:rPr>
                <w:rStyle w:val="Fett"/>
                <w:lang w:val="en-GB"/>
              </w:rPr>
              <w:t>.</w:t>
            </w:r>
            <w:r w:rsidRPr="003828EB">
              <w:rPr>
                <w:rStyle w:val="Fett"/>
                <w:lang w:val="en-GB"/>
              </w:rPr>
              <w:t>9</w:t>
            </w:r>
            <w:r w:rsidRPr="003828EB">
              <w:rPr>
                <w:lang w:val="en-GB"/>
              </w:rPr>
              <w:br/>
              <w:t>0</w:t>
            </w:r>
            <w:r w:rsidR="0045400C" w:rsidRPr="003828EB">
              <w:rPr>
                <w:lang w:val="en-GB"/>
              </w:rPr>
              <w:t>.</w:t>
            </w:r>
            <w:r w:rsidRPr="003828EB">
              <w:rPr>
                <w:lang w:val="en-GB"/>
              </w:rPr>
              <w:t>4</w:t>
            </w:r>
            <w:r w:rsidRPr="003828EB">
              <w:rPr>
                <w:lang w:val="en-GB"/>
              </w:rPr>
              <w:br/>
              <w:t>-4</w:t>
            </w:r>
            <w:r w:rsidR="0045400C" w:rsidRPr="003828EB">
              <w:rPr>
                <w:lang w:val="en-GB"/>
              </w:rPr>
              <w:t>.</w:t>
            </w:r>
            <w:r w:rsidRPr="003828EB">
              <w:rPr>
                <w:lang w:val="en-GB"/>
              </w:rPr>
              <w:t>5</w:t>
            </w:r>
            <w:r w:rsidRPr="003828EB">
              <w:rPr>
                <w:lang w:val="en-GB"/>
              </w:rPr>
              <w:br/>
              <w:t>3</w:t>
            </w:r>
            <w:r w:rsidR="0045400C" w:rsidRPr="003828EB">
              <w:rPr>
                <w:lang w:val="en-GB"/>
              </w:rPr>
              <w:t>.</w:t>
            </w:r>
            <w:r w:rsidRPr="003828EB">
              <w:rPr>
                <w:lang w:val="en-GB"/>
              </w:rPr>
              <w:t>8</w:t>
            </w:r>
            <w:r w:rsidRPr="003828EB">
              <w:rPr>
                <w:lang w:val="en-GB"/>
              </w:rPr>
              <w:br/>
              <w:t>-1</w:t>
            </w:r>
            <w:r w:rsidR="0045400C" w:rsidRPr="003828EB">
              <w:rPr>
                <w:lang w:val="en-GB"/>
              </w:rPr>
              <w:t>.</w:t>
            </w:r>
            <w:r w:rsidRPr="003828EB">
              <w:rPr>
                <w:lang w:val="en-GB"/>
              </w:rPr>
              <w:t>6</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17480D8D" w14:textId="26134973"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3828EB">
              <w:rPr>
                <w:rStyle w:val="Fett"/>
                <w:lang w:val="en-GB"/>
              </w:rPr>
              <w:t>-2</w:t>
            </w:r>
            <w:r w:rsidR="0045400C" w:rsidRPr="003828EB">
              <w:rPr>
                <w:rStyle w:val="Fett"/>
                <w:lang w:val="en-GB"/>
              </w:rPr>
              <w:t>.</w:t>
            </w:r>
            <w:r w:rsidRPr="003828EB">
              <w:rPr>
                <w:rStyle w:val="Fett"/>
                <w:lang w:val="en-GB"/>
              </w:rPr>
              <w:t>8</w:t>
            </w:r>
            <w:r w:rsidRPr="003828EB">
              <w:rPr>
                <w:lang w:val="en-GB"/>
              </w:rPr>
              <w:br/>
              <w:t>-3</w:t>
            </w:r>
            <w:r w:rsidR="0045400C" w:rsidRPr="003828EB">
              <w:rPr>
                <w:lang w:val="en-GB"/>
              </w:rPr>
              <w:t>.</w:t>
            </w:r>
            <w:r w:rsidRPr="003828EB">
              <w:rPr>
                <w:lang w:val="en-GB"/>
              </w:rPr>
              <w:t>1</w:t>
            </w:r>
            <w:r w:rsidRPr="003828EB">
              <w:rPr>
                <w:lang w:val="en-GB"/>
              </w:rPr>
              <w:br/>
              <w:t>-5</w:t>
            </w:r>
            <w:r w:rsidR="0045400C" w:rsidRPr="003828EB">
              <w:rPr>
                <w:lang w:val="en-GB"/>
              </w:rPr>
              <w:t>.</w:t>
            </w:r>
            <w:r w:rsidRPr="003828EB">
              <w:rPr>
                <w:lang w:val="en-GB"/>
              </w:rPr>
              <w:t>6</w:t>
            </w:r>
            <w:r w:rsidRPr="003828EB">
              <w:rPr>
                <w:lang w:val="en-GB"/>
              </w:rPr>
              <w:br/>
              <w:t>2</w:t>
            </w:r>
            <w:r w:rsidR="0045400C" w:rsidRPr="003828EB">
              <w:rPr>
                <w:lang w:val="en-GB"/>
              </w:rPr>
              <w:t>.</w:t>
            </w:r>
            <w:r w:rsidRPr="003828EB">
              <w:rPr>
                <w:lang w:val="en-GB"/>
              </w:rPr>
              <w:t>0</w:t>
            </w:r>
            <w:r w:rsidRPr="003828EB">
              <w:rPr>
                <w:lang w:val="en-GB"/>
              </w:rPr>
              <w:br/>
              <w:t>3</w:t>
            </w:r>
            <w:r w:rsidR="0045400C" w:rsidRPr="003828EB">
              <w:rPr>
                <w:lang w:val="en-GB"/>
              </w:rPr>
              <w:t>.</w:t>
            </w:r>
            <w:r w:rsidRPr="003828EB">
              <w:rPr>
                <w:lang w:val="en-GB"/>
              </w:rPr>
              <w:t>9</w:t>
            </w:r>
          </w:p>
        </w:tc>
        <w:tc>
          <w:tcPr>
            <w:tcW w:w="1871" w:type="dxa"/>
            <w:tcBorders>
              <w:top w:val="single" w:sz="4" w:space="0" w:color="auto"/>
              <w:left w:val="single" w:sz="48" w:space="0" w:color="FFFFFF" w:themeColor="background1"/>
              <w:bottom w:val="single" w:sz="4" w:space="0" w:color="auto"/>
              <w:right w:val="nil"/>
            </w:tcBorders>
          </w:tcPr>
          <w:p w14:paraId="423C97AA" w14:textId="77777777" w:rsidR="001F2ED1" w:rsidRPr="003828EB" w:rsidRDefault="001F2ED1" w:rsidP="004C1B65">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p>
        </w:tc>
      </w:tr>
      <w:tr w:rsidR="001F2ED1" w:rsidRPr="003828EB" w14:paraId="0AA52346"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0E1EF8E1" w14:textId="77777777" w:rsidR="001F2ED1" w:rsidRPr="003828EB" w:rsidRDefault="001F2ED1" w:rsidP="004C1B65">
            <w:pPr>
              <w:spacing w:after="240" w:line="280" w:lineRule="auto"/>
              <w:rPr>
                <w:lang w:val="en-GB"/>
              </w:rPr>
            </w:pPr>
            <w:r w:rsidRPr="003828EB">
              <w:rPr>
                <w:lang w:val="en-GB"/>
              </w:rPr>
              <w:t>Earnings before taxes (EBT)</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53E8310" w14:textId="0259922F"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828EB">
              <w:rPr>
                <w:b/>
                <w:lang w:val="en-GB"/>
              </w:rPr>
              <w:t>-2</w:t>
            </w:r>
            <w:r w:rsidR="0045400C" w:rsidRPr="003828EB">
              <w:rPr>
                <w:b/>
                <w:lang w:val="en-GB"/>
              </w:rPr>
              <w:t>.</w:t>
            </w:r>
            <w:r w:rsidRPr="003828EB">
              <w:rPr>
                <w:b/>
                <w:lang w:val="en-GB"/>
              </w:rPr>
              <w:t>9</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A36E6E9" w14:textId="43AE7CC8"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828EB">
              <w:rPr>
                <w:b/>
                <w:lang w:val="en-GB"/>
              </w:rPr>
              <w:t>-4</w:t>
            </w:r>
            <w:r w:rsidR="0045400C" w:rsidRPr="003828EB">
              <w:rPr>
                <w:b/>
                <w:lang w:val="en-GB"/>
              </w:rPr>
              <w:t>.</w:t>
            </w:r>
            <w:r w:rsidRPr="003828EB">
              <w:rPr>
                <w:b/>
                <w:lang w:val="en-GB"/>
              </w:rPr>
              <w:t>1</w:t>
            </w:r>
          </w:p>
        </w:tc>
        <w:tc>
          <w:tcPr>
            <w:tcW w:w="1871" w:type="dxa"/>
            <w:tcBorders>
              <w:top w:val="single" w:sz="4" w:space="0" w:color="auto"/>
              <w:left w:val="single" w:sz="48" w:space="0" w:color="FFFFFF" w:themeColor="background1"/>
              <w:bottom w:val="single" w:sz="4" w:space="0" w:color="auto"/>
              <w:right w:val="nil"/>
            </w:tcBorders>
          </w:tcPr>
          <w:p w14:paraId="07455A48" w14:textId="77777777" w:rsidR="001F2ED1" w:rsidRPr="003828EB" w:rsidRDefault="001F2ED1" w:rsidP="004C1B65">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1F2ED1" w:rsidRPr="003828EB" w14:paraId="5F76E66B"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7C46E0DC" w14:textId="4CDBB187" w:rsidR="001F2ED1" w:rsidRPr="003828EB" w:rsidRDefault="001F2ED1" w:rsidP="0045400C">
            <w:pPr>
              <w:spacing w:after="240" w:line="280" w:lineRule="auto"/>
              <w:rPr>
                <w:lang w:val="en-GB"/>
              </w:rPr>
            </w:pPr>
            <w:r w:rsidRPr="003828EB">
              <w:rPr>
                <w:lang w:val="en-GB"/>
              </w:rPr>
              <w:t xml:space="preserve">Net </w:t>
            </w:r>
            <w:r w:rsidR="0045400C" w:rsidRPr="003828EB">
              <w:rPr>
                <w:lang w:val="en-GB"/>
              </w:rPr>
              <w:t>loss</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62D4D1C" w14:textId="76A3E04C"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828EB">
              <w:rPr>
                <w:b/>
                <w:lang w:val="en-GB"/>
              </w:rPr>
              <w:t>-2</w:t>
            </w:r>
            <w:r w:rsidR="0045400C" w:rsidRPr="003828EB">
              <w:rPr>
                <w:b/>
                <w:lang w:val="en-GB"/>
              </w:rPr>
              <w:t>.</w:t>
            </w:r>
            <w:r w:rsidRPr="003828EB">
              <w:rPr>
                <w:b/>
                <w:lang w:val="en-GB"/>
              </w:rPr>
              <w:t>3</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2F4084F" w14:textId="55F8668C"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828EB">
              <w:rPr>
                <w:b/>
                <w:lang w:val="en-GB"/>
              </w:rPr>
              <w:t>-4</w:t>
            </w:r>
            <w:r w:rsidR="0045400C" w:rsidRPr="003828EB">
              <w:rPr>
                <w:b/>
                <w:lang w:val="en-GB"/>
              </w:rPr>
              <w:t>.</w:t>
            </w:r>
            <w:r w:rsidRPr="003828EB">
              <w:rPr>
                <w:b/>
                <w:lang w:val="en-GB"/>
              </w:rPr>
              <w:t>9</w:t>
            </w:r>
          </w:p>
        </w:tc>
        <w:tc>
          <w:tcPr>
            <w:tcW w:w="1871" w:type="dxa"/>
            <w:tcBorders>
              <w:top w:val="single" w:sz="4" w:space="0" w:color="auto"/>
              <w:left w:val="single" w:sz="48" w:space="0" w:color="FFFFFF" w:themeColor="background1"/>
              <w:bottom w:val="single" w:sz="4" w:space="0" w:color="auto"/>
              <w:right w:val="nil"/>
            </w:tcBorders>
          </w:tcPr>
          <w:p w14:paraId="76EF9011" w14:textId="77777777" w:rsidR="001F2ED1" w:rsidRPr="003828EB" w:rsidRDefault="001F2ED1" w:rsidP="004C1B65">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1F2ED1" w:rsidRPr="003828EB" w14:paraId="5F5313A3"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6F7275A7" w14:textId="77777777" w:rsidR="001F2ED1" w:rsidRPr="003828EB" w:rsidRDefault="001F2ED1" w:rsidP="004C1B65">
            <w:pPr>
              <w:spacing w:after="240" w:line="280" w:lineRule="auto"/>
              <w:rPr>
                <w:lang w:val="en-GB"/>
              </w:rPr>
            </w:pPr>
            <w:r w:rsidRPr="003828EB">
              <w:rPr>
                <w:lang w:val="en-GB"/>
              </w:rPr>
              <w:t>Earnings per share in €</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15187F42" w14:textId="786DE823"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828EB">
              <w:rPr>
                <w:b/>
                <w:lang w:val="en-GB"/>
              </w:rPr>
              <w:t>-0</w:t>
            </w:r>
            <w:r w:rsidR="0045400C" w:rsidRPr="003828EB">
              <w:rPr>
                <w:b/>
                <w:lang w:val="en-GB"/>
              </w:rPr>
              <w:t>.</w:t>
            </w:r>
            <w:r w:rsidRPr="003828EB">
              <w:rPr>
                <w:b/>
                <w:lang w:val="en-GB"/>
              </w:rPr>
              <w:t>15</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67D6B68E" w14:textId="6F9DA24B"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828EB">
              <w:rPr>
                <w:b/>
                <w:lang w:val="en-GB"/>
              </w:rPr>
              <w:t>-0</w:t>
            </w:r>
            <w:r w:rsidR="0045400C" w:rsidRPr="003828EB">
              <w:rPr>
                <w:b/>
                <w:lang w:val="en-GB"/>
              </w:rPr>
              <w:t>.</w:t>
            </w:r>
            <w:r w:rsidRPr="003828EB">
              <w:rPr>
                <w:b/>
                <w:lang w:val="en-GB"/>
              </w:rPr>
              <w:t>30</w:t>
            </w:r>
          </w:p>
        </w:tc>
        <w:tc>
          <w:tcPr>
            <w:tcW w:w="1871" w:type="dxa"/>
            <w:tcBorders>
              <w:top w:val="single" w:sz="4" w:space="0" w:color="auto"/>
              <w:left w:val="single" w:sz="48" w:space="0" w:color="FFFFFF" w:themeColor="background1"/>
              <w:bottom w:val="single" w:sz="4" w:space="0" w:color="auto"/>
              <w:right w:val="nil"/>
            </w:tcBorders>
          </w:tcPr>
          <w:p w14:paraId="33264C8A" w14:textId="77777777" w:rsidR="001F2ED1" w:rsidRPr="003828EB" w:rsidRDefault="001F2ED1" w:rsidP="004C1B65">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1F2ED1" w:rsidRPr="003828EB" w14:paraId="30E824EC"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11253553" w14:textId="77777777" w:rsidR="001F2ED1" w:rsidRPr="003828EB" w:rsidRDefault="001F2ED1" w:rsidP="004C1B65">
            <w:pPr>
              <w:spacing w:after="240" w:line="280" w:lineRule="auto"/>
              <w:rPr>
                <w:lang w:val="en-GB"/>
              </w:rPr>
            </w:pPr>
            <w:r w:rsidRPr="003828EB">
              <w:rPr>
                <w:lang w:val="en-GB"/>
              </w:rPr>
              <w:t>Cash flows from operating</w:t>
            </w:r>
            <w:r w:rsidRPr="003828EB">
              <w:rPr>
                <w:lang w:val="en-GB"/>
              </w:rPr>
              <w:br/>
              <w:t>activities</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B7B7436" w14:textId="698434B2"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828EB">
              <w:rPr>
                <w:b/>
                <w:lang w:val="en-GB"/>
              </w:rPr>
              <w:t>20</w:t>
            </w:r>
            <w:r w:rsidR="0045400C" w:rsidRPr="003828EB">
              <w:rPr>
                <w:b/>
                <w:lang w:val="en-GB"/>
              </w:rPr>
              <w:t>.</w:t>
            </w:r>
            <w:r w:rsidRPr="003828EB">
              <w:rPr>
                <w:b/>
                <w:lang w:val="en-GB"/>
              </w:rPr>
              <w:t>3</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2A262B43" w14:textId="1B36877D"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828EB">
              <w:rPr>
                <w:b/>
                <w:lang w:val="en-GB"/>
              </w:rPr>
              <w:t>-30</w:t>
            </w:r>
            <w:r w:rsidR="0045400C" w:rsidRPr="003828EB">
              <w:rPr>
                <w:b/>
                <w:lang w:val="en-GB"/>
              </w:rPr>
              <w:t>.</w:t>
            </w:r>
            <w:r w:rsidRPr="003828EB">
              <w:rPr>
                <w:b/>
                <w:lang w:val="en-GB"/>
              </w:rPr>
              <w:t>6</w:t>
            </w:r>
          </w:p>
        </w:tc>
        <w:tc>
          <w:tcPr>
            <w:tcW w:w="1871" w:type="dxa"/>
            <w:tcBorders>
              <w:top w:val="single" w:sz="4" w:space="0" w:color="auto"/>
              <w:left w:val="single" w:sz="48" w:space="0" w:color="FFFFFF" w:themeColor="background1"/>
              <w:bottom w:val="single" w:sz="4" w:space="0" w:color="auto"/>
              <w:right w:val="nil"/>
            </w:tcBorders>
          </w:tcPr>
          <w:p w14:paraId="1556758B" w14:textId="77777777" w:rsidR="001F2ED1" w:rsidRPr="003828EB" w:rsidRDefault="001F2ED1" w:rsidP="004C1B65">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1F2ED1" w:rsidRPr="00BE46C7" w14:paraId="5A009BA0"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54DD39E4" w14:textId="32DF87D3" w:rsidR="001F2ED1" w:rsidRPr="00BE46C7" w:rsidRDefault="001F2ED1" w:rsidP="004C1B65">
            <w:pPr>
              <w:spacing w:after="240" w:line="280" w:lineRule="auto"/>
              <w:rPr>
                <w:lang w:val="en-US"/>
              </w:rPr>
            </w:pPr>
            <w:r w:rsidRPr="003828EB">
              <w:rPr>
                <w:lang w:val="en-GB"/>
              </w:rPr>
              <w:t>Balance sheet total</w:t>
            </w:r>
            <w:r w:rsidR="00BE46C7">
              <w:rPr>
                <w:lang w:val="en-GB"/>
              </w:rPr>
              <w:t xml:space="preserve"> </w:t>
            </w:r>
            <w:r w:rsidR="00BE46C7">
              <w:rPr>
                <w:lang w:val="en-GB"/>
              </w:rPr>
              <w:br/>
            </w:r>
            <w:r w:rsidR="00BE46C7" w:rsidRPr="00BE46C7">
              <w:rPr>
                <w:b w:val="0"/>
                <w:lang w:val="en-US"/>
              </w:rPr>
              <w:t>(prior year: 31.12.)</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602B698" w14:textId="317EC085"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828EB">
              <w:rPr>
                <w:b/>
                <w:lang w:val="en-GB"/>
              </w:rPr>
              <w:t>1</w:t>
            </w:r>
            <w:r w:rsidR="0045400C" w:rsidRPr="003828EB">
              <w:rPr>
                <w:b/>
                <w:lang w:val="en-GB"/>
              </w:rPr>
              <w:t>,</w:t>
            </w:r>
            <w:r w:rsidRPr="003828EB">
              <w:rPr>
                <w:b/>
                <w:lang w:val="en-GB"/>
              </w:rPr>
              <w:t>178</w:t>
            </w:r>
            <w:r w:rsidR="0045400C" w:rsidRPr="003828EB">
              <w:rPr>
                <w:b/>
                <w:lang w:val="en-GB"/>
              </w:rPr>
              <w:t>.</w:t>
            </w:r>
            <w:r w:rsidRPr="003828EB">
              <w:rPr>
                <w:b/>
                <w:lang w:val="en-GB"/>
              </w:rPr>
              <w:t>3</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7123CC18" w14:textId="7394AFBC"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828EB">
              <w:rPr>
                <w:b/>
                <w:lang w:val="en-GB"/>
              </w:rPr>
              <w:t>1</w:t>
            </w:r>
            <w:r w:rsidR="0045400C" w:rsidRPr="003828EB">
              <w:rPr>
                <w:b/>
                <w:lang w:val="en-GB"/>
              </w:rPr>
              <w:t>,</w:t>
            </w:r>
            <w:r w:rsidRPr="003828EB">
              <w:rPr>
                <w:b/>
                <w:lang w:val="en-GB"/>
              </w:rPr>
              <w:t>175</w:t>
            </w:r>
            <w:r w:rsidR="0045400C" w:rsidRPr="003828EB">
              <w:rPr>
                <w:b/>
                <w:lang w:val="en-GB"/>
              </w:rPr>
              <w:t>.</w:t>
            </w:r>
            <w:r w:rsidRPr="003828EB">
              <w:rPr>
                <w:b/>
                <w:lang w:val="en-GB"/>
              </w:rPr>
              <w:t>8</w:t>
            </w:r>
          </w:p>
        </w:tc>
        <w:tc>
          <w:tcPr>
            <w:tcW w:w="1871" w:type="dxa"/>
            <w:tcBorders>
              <w:top w:val="single" w:sz="4" w:space="0" w:color="auto"/>
              <w:left w:val="single" w:sz="48" w:space="0" w:color="FFFFFF" w:themeColor="background1"/>
              <w:bottom w:val="single" w:sz="4" w:space="0" w:color="auto"/>
              <w:right w:val="nil"/>
            </w:tcBorders>
          </w:tcPr>
          <w:p w14:paraId="05599D9F" w14:textId="77777777" w:rsidR="001F2ED1" w:rsidRPr="003828EB" w:rsidRDefault="001F2ED1" w:rsidP="004C1B65">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1F2ED1" w:rsidRPr="00BE46C7" w14:paraId="1CFC0342"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645F322C" w14:textId="6935D171" w:rsidR="001F2ED1" w:rsidRPr="003828EB" w:rsidRDefault="001F2ED1" w:rsidP="004C1B65">
            <w:pPr>
              <w:spacing w:after="240" w:line="280" w:lineRule="auto"/>
              <w:rPr>
                <w:lang w:val="en-GB"/>
              </w:rPr>
            </w:pPr>
            <w:r w:rsidRPr="003828EB">
              <w:rPr>
                <w:lang w:val="en-GB"/>
              </w:rPr>
              <w:t>Equity</w:t>
            </w:r>
            <w:r w:rsidR="00BE46C7">
              <w:rPr>
                <w:lang w:val="en-GB"/>
              </w:rPr>
              <w:t xml:space="preserve"> </w:t>
            </w:r>
            <w:r w:rsidR="00BE46C7" w:rsidRPr="00BE46C7">
              <w:rPr>
                <w:b w:val="0"/>
                <w:lang w:val="en-US"/>
              </w:rPr>
              <w:t>(prior year: 31.12.)</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3314B526" w14:textId="28A204E0"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828EB">
              <w:rPr>
                <w:b/>
                <w:lang w:val="en-GB"/>
              </w:rPr>
              <w:t>453</w:t>
            </w:r>
            <w:r w:rsidR="0045400C" w:rsidRPr="003828EB">
              <w:rPr>
                <w:b/>
                <w:lang w:val="en-GB"/>
              </w:rPr>
              <w:t>.</w:t>
            </w:r>
            <w:r w:rsidRPr="003828EB">
              <w:rPr>
                <w:b/>
                <w:lang w:val="en-GB"/>
              </w:rPr>
              <w:t>4</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3C76539D" w14:textId="59CFEE45"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828EB">
              <w:rPr>
                <w:b/>
                <w:lang w:val="en-GB"/>
              </w:rPr>
              <w:t>441</w:t>
            </w:r>
            <w:r w:rsidR="0045400C" w:rsidRPr="003828EB">
              <w:rPr>
                <w:b/>
                <w:lang w:val="en-GB"/>
              </w:rPr>
              <w:t>.</w:t>
            </w:r>
            <w:r w:rsidRPr="003828EB">
              <w:rPr>
                <w:b/>
                <w:lang w:val="en-GB"/>
              </w:rPr>
              <w:t>4</w:t>
            </w:r>
          </w:p>
        </w:tc>
        <w:tc>
          <w:tcPr>
            <w:tcW w:w="1871" w:type="dxa"/>
            <w:tcBorders>
              <w:top w:val="single" w:sz="4" w:space="0" w:color="auto"/>
              <w:left w:val="single" w:sz="48" w:space="0" w:color="FFFFFF" w:themeColor="background1"/>
              <w:bottom w:val="single" w:sz="4" w:space="0" w:color="auto"/>
              <w:right w:val="nil"/>
            </w:tcBorders>
          </w:tcPr>
          <w:p w14:paraId="22727B97" w14:textId="77777777" w:rsidR="001F2ED1" w:rsidRPr="003828EB" w:rsidRDefault="001F2ED1" w:rsidP="004C1B65">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1F2ED1" w:rsidRPr="00BE46C7" w14:paraId="557D33CA"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nil"/>
              <w:right w:val="single" w:sz="48" w:space="0" w:color="FFFFFF" w:themeColor="background1"/>
            </w:tcBorders>
            <w:hideMark/>
          </w:tcPr>
          <w:p w14:paraId="0B15C5AF" w14:textId="7FB236F1" w:rsidR="001F2ED1" w:rsidRPr="003828EB" w:rsidRDefault="00BE46C7" w:rsidP="001F2ED1">
            <w:pPr>
              <w:spacing w:after="240" w:line="280" w:lineRule="auto"/>
              <w:rPr>
                <w:lang w:val="en-GB"/>
              </w:rPr>
            </w:pPr>
            <w:r>
              <w:rPr>
                <w:lang w:val="en-GB"/>
              </w:rPr>
              <w:t>Employees</w:t>
            </w:r>
            <w:r w:rsidR="001F2ED1" w:rsidRPr="003828EB">
              <w:rPr>
                <w:lang w:val="en-GB"/>
              </w:rPr>
              <w:br/>
            </w:r>
            <w:r w:rsidR="001F2ED1" w:rsidRPr="003828EB">
              <w:rPr>
                <w:b w:val="0"/>
                <w:lang w:val="en-GB"/>
              </w:rPr>
              <w:t xml:space="preserve">thereof </w:t>
            </w:r>
            <w:r>
              <w:rPr>
                <w:b w:val="0"/>
                <w:lang w:val="en-GB"/>
              </w:rPr>
              <w:t>apprentices/trainees</w:t>
            </w:r>
          </w:p>
        </w:tc>
        <w:tc>
          <w:tcPr>
            <w:tcW w:w="1871" w:type="dxa"/>
            <w:tcBorders>
              <w:top w:val="single" w:sz="4" w:space="0" w:color="auto"/>
              <w:left w:val="single" w:sz="48" w:space="0" w:color="FFFFFF" w:themeColor="background1"/>
              <w:bottom w:val="nil"/>
              <w:right w:val="single" w:sz="48" w:space="0" w:color="FFFFFF" w:themeColor="background1"/>
            </w:tcBorders>
            <w:hideMark/>
          </w:tcPr>
          <w:p w14:paraId="5D4D81B8" w14:textId="7FA22232"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828EB">
              <w:rPr>
                <w:b/>
                <w:lang w:val="en-GB"/>
              </w:rPr>
              <w:t>5</w:t>
            </w:r>
            <w:r w:rsidR="0045400C" w:rsidRPr="003828EB">
              <w:rPr>
                <w:b/>
                <w:lang w:val="en-GB"/>
              </w:rPr>
              <w:t>,</w:t>
            </w:r>
            <w:r w:rsidRPr="003828EB">
              <w:rPr>
                <w:b/>
                <w:lang w:val="en-GB"/>
              </w:rPr>
              <w:t>604</w:t>
            </w:r>
            <w:r w:rsidRPr="003828EB">
              <w:rPr>
                <w:b/>
                <w:lang w:val="en-GB"/>
              </w:rPr>
              <w:br/>
            </w:r>
            <w:r w:rsidRPr="003828EB">
              <w:rPr>
                <w:lang w:val="en-GB"/>
              </w:rPr>
              <w:t>271</w:t>
            </w:r>
          </w:p>
        </w:tc>
        <w:tc>
          <w:tcPr>
            <w:tcW w:w="1871" w:type="dxa"/>
            <w:tcBorders>
              <w:top w:val="single" w:sz="4" w:space="0" w:color="auto"/>
              <w:left w:val="single" w:sz="48" w:space="0" w:color="FFFFFF" w:themeColor="background1"/>
              <w:bottom w:val="nil"/>
              <w:right w:val="single" w:sz="48" w:space="0" w:color="FFFFFF" w:themeColor="background1"/>
            </w:tcBorders>
            <w:hideMark/>
          </w:tcPr>
          <w:p w14:paraId="01766410" w14:textId="435F8334" w:rsidR="001F2ED1" w:rsidRPr="003828EB" w:rsidRDefault="001F2ED1" w:rsidP="0045400C">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3828EB">
              <w:rPr>
                <w:b/>
                <w:lang w:val="en-GB"/>
              </w:rPr>
              <w:t>5</w:t>
            </w:r>
            <w:r w:rsidR="0045400C" w:rsidRPr="003828EB">
              <w:rPr>
                <w:b/>
                <w:lang w:val="en-GB"/>
              </w:rPr>
              <w:t>,</w:t>
            </w:r>
            <w:r w:rsidRPr="003828EB">
              <w:rPr>
                <w:b/>
                <w:lang w:val="en-GB"/>
              </w:rPr>
              <w:t>706</w:t>
            </w:r>
            <w:r w:rsidRPr="003828EB">
              <w:rPr>
                <w:b/>
                <w:lang w:val="en-GB"/>
              </w:rPr>
              <w:br/>
            </w:r>
            <w:r w:rsidRPr="003828EB">
              <w:rPr>
                <w:lang w:val="en-GB"/>
              </w:rPr>
              <w:t>270</w:t>
            </w:r>
          </w:p>
        </w:tc>
        <w:tc>
          <w:tcPr>
            <w:tcW w:w="1871" w:type="dxa"/>
            <w:tcBorders>
              <w:top w:val="single" w:sz="4" w:space="0" w:color="auto"/>
              <w:left w:val="single" w:sz="48" w:space="0" w:color="FFFFFF" w:themeColor="background1"/>
              <w:bottom w:val="nil"/>
              <w:right w:val="nil"/>
            </w:tcBorders>
          </w:tcPr>
          <w:p w14:paraId="35E962B9" w14:textId="77777777" w:rsidR="001F2ED1" w:rsidRPr="003828EB" w:rsidRDefault="001F2ED1" w:rsidP="004C1B65">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bl>
    <w:p w14:paraId="00EDF847" w14:textId="77777777" w:rsidR="001F2ED1" w:rsidRPr="003828EB" w:rsidRDefault="001F2ED1" w:rsidP="00A44634">
      <w:pPr>
        <w:spacing w:after="240"/>
        <w:rPr>
          <w:lang w:val="en-GB"/>
        </w:rPr>
      </w:pPr>
    </w:p>
    <w:sectPr w:rsidR="001F2ED1" w:rsidRPr="003828EB"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7A8B4" w14:textId="77777777" w:rsidR="0045400C" w:rsidRDefault="0045400C" w:rsidP="00647A4F">
      <w:pPr>
        <w:spacing w:after="240"/>
      </w:pPr>
      <w:r>
        <w:separator/>
      </w:r>
    </w:p>
    <w:p w14:paraId="0627A8B5" w14:textId="77777777" w:rsidR="0045400C" w:rsidRDefault="0045400C" w:rsidP="00647A4F">
      <w:pPr>
        <w:spacing w:after="240"/>
      </w:pPr>
    </w:p>
  </w:endnote>
  <w:endnote w:type="continuationSeparator" w:id="0">
    <w:p w14:paraId="0627A8B6" w14:textId="77777777" w:rsidR="0045400C" w:rsidRDefault="0045400C" w:rsidP="00647A4F">
      <w:pPr>
        <w:spacing w:after="240"/>
      </w:pPr>
      <w:r>
        <w:continuationSeparator/>
      </w:r>
    </w:p>
    <w:p w14:paraId="0627A8B7" w14:textId="77777777" w:rsidR="0045400C" w:rsidRDefault="0045400C"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A8BA" w14:textId="77777777" w:rsidR="0045400C" w:rsidRDefault="0045400C">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A8BB" w14:textId="2405A7DC" w:rsidR="0045400C" w:rsidRPr="003828EB" w:rsidRDefault="00804CB9" w:rsidP="00182744">
    <w:pPr>
      <w:pStyle w:val="Fuzeile"/>
      <w:spacing w:after="240"/>
      <w:rPr>
        <w:lang w:val="en-US"/>
      </w:rPr>
    </w:pPr>
    <w:sdt>
      <w:sdtPr>
        <w:rPr>
          <w:lang w:val="en-GB"/>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BE46C7">
          <w:rPr>
            <w:lang w:val="en-GB"/>
          </w:rPr>
          <w:t xml:space="preserve">Koenig &amp; Bauer </w:t>
        </w:r>
        <w:r w:rsidR="003828EB" w:rsidRPr="003828EB">
          <w:rPr>
            <w:lang w:val="en-GB"/>
          </w:rPr>
          <w:t>with 10.2% higher order intake</w:t>
        </w:r>
      </w:sdtContent>
    </w:sdt>
    <w:r w:rsidR="0045400C" w:rsidRPr="003828EB">
      <w:rPr>
        <w:lang w:val="en-US"/>
      </w:rPr>
      <w:t xml:space="preserve"> | </w:t>
    </w:r>
    <w:r w:rsidR="0045400C">
      <w:rPr>
        <w:lang w:val="en-US"/>
      </w:rPr>
      <w:fldChar w:fldCharType="begin"/>
    </w:r>
    <w:r w:rsidR="0045400C" w:rsidRPr="003828EB">
      <w:rPr>
        <w:lang w:val="en-US"/>
      </w:rPr>
      <w:instrText xml:space="preserve"> PAGE </w:instrText>
    </w:r>
    <w:r w:rsidR="0045400C">
      <w:rPr>
        <w:lang w:val="en-US"/>
      </w:rPr>
      <w:fldChar w:fldCharType="separate"/>
    </w:r>
    <w:r>
      <w:rPr>
        <w:lang w:val="en-US"/>
      </w:rPr>
      <w:t>1</w:t>
    </w:r>
    <w:r w:rsidR="0045400C">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A8BD" w14:textId="516B663B" w:rsidR="0045400C" w:rsidRPr="003828EB" w:rsidRDefault="00804CB9"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BE46C7" w:rsidRPr="00BE46C7">
          <w:rPr>
            <w:lang w:val="en-US"/>
          </w:rPr>
          <w:t>Koenig &amp; Bauer with 10.2% higher order intake</w:t>
        </w:r>
      </w:sdtContent>
    </w:sdt>
    <w:r w:rsidR="0045400C" w:rsidRPr="003828EB">
      <w:rPr>
        <w:lang w:val="en-US"/>
      </w:rPr>
      <w:t xml:space="preserve"> | </w:t>
    </w:r>
    <w:r w:rsidR="0045400C">
      <w:rPr>
        <w:lang w:val="en-US"/>
      </w:rPr>
      <w:fldChar w:fldCharType="begin"/>
    </w:r>
    <w:r w:rsidR="0045400C" w:rsidRPr="003828EB">
      <w:rPr>
        <w:lang w:val="en-US"/>
      </w:rPr>
      <w:instrText xml:space="preserve"> PAGE </w:instrText>
    </w:r>
    <w:r w:rsidR="0045400C">
      <w:rPr>
        <w:lang w:val="en-US"/>
      </w:rPr>
      <w:fldChar w:fldCharType="separate"/>
    </w:r>
    <w:r w:rsidR="0045400C" w:rsidRPr="003828EB">
      <w:rPr>
        <w:lang w:val="en-US"/>
      </w:rPr>
      <w:t>1</w:t>
    </w:r>
    <w:r w:rsidR="0045400C">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7A8B1" w14:textId="77777777" w:rsidR="0045400C" w:rsidRDefault="0045400C" w:rsidP="00647A4F">
      <w:pPr>
        <w:spacing w:after="240"/>
      </w:pPr>
      <w:r>
        <w:separator/>
      </w:r>
    </w:p>
  </w:footnote>
  <w:footnote w:type="continuationSeparator" w:id="0">
    <w:p w14:paraId="0627A8B2" w14:textId="77777777" w:rsidR="0045400C" w:rsidRDefault="0045400C" w:rsidP="00647A4F">
      <w:pPr>
        <w:spacing w:after="240"/>
      </w:pPr>
      <w:r>
        <w:continuationSeparator/>
      </w:r>
    </w:p>
    <w:p w14:paraId="0627A8B3" w14:textId="77777777" w:rsidR="0045400C" w:rsidRDefault="0045400C"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A8B8" w14:textId="77777777" w:rsidR="0045400C" w:rsidRDefault="0045400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A8B9" w14:textId="77777777" w:rsidR="0045400C" w:rsidRDefault="0045400C" w:rsidP="00647A4F">
    <w:pPr>
      <w:pStyle w:val="Kopfzeile"/>
      <w:spacing w:after="240"/>
    </w:pPr>
    <w:r>
      <w:rPr>
        <w:noProof/>
        <w:lang w:eastAsia="de-DE"/>
      </w:rPr>
      <w:drawing>
        <wp:anchor distT="0" distB="0" distL="114300" distR="114300" simplePos="0" relativeHeight="251664384" behindDoc="0" locked="1" layoutInCell="1" allowOverlap="1" wp14:anchorId="0627A8BE" wp14:editId="0627A8BF">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A8BC" w14:textId="77777777" w:rsidR="0045400C" w:rsidRPr="000B7CEC" w:rsidRDefault="0045400C" w:rsidP="00647A4F">
    <w:pPr>
      <w:pStyle w:val="Kopfzeile"/>
      <w:spacing w:after="240"/>
    </w:pPr>
    <w:r>
      <w:rPr>
        <w:noProof/>
        <w:lang w:eastAsia="de-DE"/>
      </w:rPr>
      <w:drawing>
        <wp:anchor distT="0" distB="0" distL="114300" distR="114300" simplePos="0" relativeHeight="251662336" behindDoc="0" locked="0" layoutInCell="1" allowOverlap="1" wp14:anchorId="0627A8C0" wp14:editId="0627A8C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17827A3"/>
    <w:multiLevelType w:val="hybridMultilevel"/>
    <w:tmpl w:val="7EB0B634"/>
    <w:lvl w:ilvl="0" w:tplc="79AA0D48">
      <w:start w:val="1"/>
      <w:numFmt w:val="bullet"/>
      <w:lvlText w:val="•"/>
      <w:lvlJc w:val="left"/>
      <w:pPr>
        <w:tabs>
          <w:tab w:val="num" w:pos="720"/>
        </w:tabs>
        <w:ind w:left="720" w:hanging="360"/>
      </w:pPr>
      <w:rPr>
        <w:rFonts w:ascii="Arial" w:hAnsi="Arial" w:hint="default"/>
      </w:rPr>
    </w:lvl>
    <w:lvl w:ilvl="1" w:tplc="DEA03F3C" w:tentative="1">
      <w:start w:val="1"/>
      <w:numFmt w:val="bullet"/>
      <w:lvlText w:val="•"/>
      <w:lvlJc w:val="left"/>
      <w:pPr>
        <w:tabs>
          <w:tab w:val="num" w:pos="1440"/>
        </w:tabs>
        <w:ind w:left="1440" w:hanging="360"/>
      </w:pPr>
      <w:rPr>
        <w:rFonts w:ascii="Arial" w:hAnsi="Arial" w:hint="default"/>
      </w:rPr>
    </w:lvl>
    <w:lvl w:ilvl="2" w:tplc="4BD69F54" w:tentative="1">
      <w:start w:val="1"/>
      <w:numFmt w:val="bullet"/>
      <w:lvlText w:val="•"/>
      <w:lvlJc w:val="left"/>
      <w:pPr>
        <w:tabs>
          <w:tab w:val="num" w:pos="2160"/>
        </w:tabs>
        <w:ind w:left="2160" w:hanging="360"/>
      </w:pPr>
      <w:rPr>
        <w:rFonts w:ascii="Arial" w:hAnsi="Arial" w:hint="default"/>
      </w:rPr>
    </w:lvl>
    <w:lvl w:ilvl="3" w:tplc="ED08EAE0" w:tentative="1">
      <w:start w:val="1"/>
      <w:numFmt w:val="bullet"/>
      <w:lvlText w:val="•"/>
      <w:lvlJc w:val="left"/>
      <w:pPr>
        <w:tabs>
          <w:tab w:val="num" w:pos="2880"/>
        </w:tabs>
        <w:ind w:left="2880" w:hanging="360"/>
      </w:pPr>
      <w:rPr>
        <w:rFonts w:ascii="Arial" w:hAnsi="Arial" w:hint="default"/>
      </w:rPr>
    </w:lvl>
    <w:lvl w:ilvl="4" w:tplc="51DCB888" w:tentative="1">
      <w:start w:val="1"/>
      <w:numFmt w:val="bullet"/>
      <w:lvlText w:val="•"/>
      <w:lvlJc w:val="left"/>
      <w:pPr>
        <w:tabs>
          <w:tab w:val="num" w:pos="3600"/>
        </w:tabs>
        <w:ind w:left="3600" w:hanging="360"/>
      </w:pPr>
      <w:rPr>
        <w:rFonts w:ascii="Arial" w:hAnsi="Arial" w:hint="default"/>
      </w:rPr>
    </w:lvl>
    <w:lvl w:ilvl="5" w:tplc="CF544296" w:tentative="1">
      <w:start w:val="1"/>
      <w:numFmt w:val="bullet"/>
      <w:lvlText w:val="•"/>
      <w:lvlJc w:val="left"/>
      <w:pPr>
        <w:tabs>
          <w:tab w:val="num" w:pos="4320"/>
        </w:tabs>
        <w:ind w:left="4320" w:hanging="360"/>
      </w:pPr>
      <w:rPr>
        <w:rFonts w:ascii="Arial" w:hAnsi="Arial" w:hint="default"/>
      </w:rPr>
    </w:lvl>
    <w:lvl w:ilvl="6" w:tplc="EF8A0A16" w:tentative="1">
      <w:start w:val="1"/>
      <w:numFmt w:val="bullet"/>
      <w:lvlText w:val="•"/>
      <w:lvlJc w:val="left"/>
      <w:pPr>
        <w:tabs>
          <w:tab w:val="num" w:pos="5040"/>
        </w:tabs>
        <w:ind w:left="5040" w:hanging="360"/>
      </w:pPr>
      <w:rPr>
        <w:rFonts w:ascii="Arial" w:hAnsi="Arial" w:hint="default"/>
      </w:rPr>
    </w:lvl>
    <w:lvl w:ilvl="7" w:tplc="5AF86E20" w:tentative="1">
      <w:start w:val="1"/>
      <w:numFmt w:val="bullet"/>
      <w:lvlText w:val="•"/>
      <w:lvlJc w:val="left"/>
      <w:pPr>
        <w:tabs>
          <w:tab w:val="num" w:pos="5760"/>
        </w:tabs>
        <w:ind w:left="5760" w:hanging="360"/>
      </w:pPr>
      <w:rPr>
        <w:rFonts w:ascii="Arial" w:hAnsi="Arial" w:hint="default"/>
      </w:rPr>
    </w:lvl>
    <w:lvl w:ilvl="8" w:tplc="29E0EB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51F1D"/>
    <w:rsid w:val="00056DB6"/>
    <w:rsid w:val="000706A2"/>
    <w:rsid w:val="00077BFF"/>
    <w:rsid w:val="000A70ED"/>
    <w:rsid w:val="000B7CEC"/>
    <w:rsid w:val="000C49F7"/>
    <w:rsid w:val="000C511A"/>
    <w:rsid w:val="000C534C"/>
    <w:rsid w:val="000D1507"/>
    <w:rsid w:val="000E431A"/>
    <w:rsid w:val="00116A26"/>
    <w:rsid w:val="00133BCF"/>
    <w:rsid w:val="0014042C"/>
    <w:rsid w:val="00163241"/>
    <w:rsid w:val="0016411F"/>
    <w:rsid w:val="0016774E"/>
    <w:rsid w:val="001807EE"/>
    <w:rsid w:val="00182744"/>
    <w:rsid w:val="001A7189"/>
    <w:rsid w:val="001B5BAA"/>
    <w:rsid w:val="001B747C"/>
    <w:rsid w:val="001C394D"/>
    <w:rsid w:val="001E5ABB"/>
    <w:rsid w:val="001E727F"/>
    <w:rsid w:val="001F2ED1"/>
    <w:rsid w:val="001F5D76"/>
    <w:rsid w:val="00204EAE"/>
    <w:rsid w:val="0021638F"/>
    <w:rsid w:val="002175CB"/>
    <w:rsid w:val="0022027F"/>
    <w:rsid w:val="00262470"/>
    <w:rsid w:val="00265400"/>
    <w:rsid w:val="0027081D"/>
    <w:rsid w:val="00282128"/>
    <w:rsid w:val="002A5D4F"/>
    <w:rsid w:val="002B77B3"/>
    <w:rsid w:val="002C05E4"/>
    <w:rsid w:val="002E1AB6"/>
    <w:rsid w:val="002E3557"/>
    <w:rsid w:val="00324B88"/>
    <w:rsid w:val="00341B02"/>
    <w:rsid w:val="00356744"/>
    <w:rsid w:val="00382047"/>
    <w:rsid w:val="003828EB"/>
    <w:rsid w:val="003A0BCE"/>
    <w:rsid w:val="003B7A63"/>
    <w:rsid w:val="003D1D5D"/>
    <w:rsid w:val="00407116"/>
    <w:rsid w:val="00413B84"/>
    <w:rsid w:val="0041506E"/>
    <w:rsid w:val="004158D7"/>
    <w:rsid w:val="00432025"/>
    <w:rsid w:val="00432594"/>
    <w:rsid w:val="00451F82"/>
    <w:rsid w:val="00453792"/>
    <w:rsid w:val="0045400C"/>
    <w:rsid w:val="004628E4"/>
    <w:rsid w:val="004676E1"/>
    <w:rsid w:val="00470F72"/>
    <w:rsid w:val="004B1583"/>
    <w:rsid w:val="004B210E"/>
    <w:rsid w:val="004B5DBB"/>
    <w:rsid w:val="004C1B65"/>
    <w:rsid w:val="004E33CC"/>
    <w:rsid w:val="004E6239"/>
    <w:rsid w:val="00522321"/>
    <w:rsid w:val="00524C68"/>
    <w:rsid w:val="00533745"/>
    <w:rsid w:val="0055123F"/>
    <w:rsid w:val="00563C4E"/>
    <w:rsid w:val="0057450D"/>
    <w:rsid w:val="00581FA3"/>
    <w:rsid w:val="00584EAD"/>
    <w:rsid w:val="005865F5"/>
    <w:rsid w:val="005A1925"/>
    <w:rsid w:val="005A281B"/>
    <w:rsid w:val="005B1FCC"/>
    <w:rsid w:val="005E1ABB"/>
    <w:rsid w:val="005E5705"/>
    <w:rsid w:val="005F3C60"/>
    <w:rsid w:val="005F53EE"/>
    <w:rsid w:val="00614D7E"/>
    <w:rsid w:val="0063340E"/>
    <w:rsid w:val="00647A4F"/>
    <w:rsid w:val="00673988"/>
    <w:rsid w:val="00677B21"/>
    <w:rsid w:val="00690591"/>
    <w:rsid w:val="00697DB1"/>
    <w:rsid w:val="006B2D44"/>
    <w:rsid w:val="00704DFC"/>
    <w:rsid w:val="00722296"/>
    <w:rsid w:val="00733B90"/>
    <w:rsid w:val="0074617A"/>
    <w:rsid w:val="00781882"/>
    <w:rsid w:val="00787DD5"/>
    <w:rsid w:val="007A0146"/>
    <w:rsid w:val="007A1916"/>
    <w:rsid w:val="007C5289"/>
    <w:rsid w:val="007C5C86"/>
    <w:rsid w:val="007D0BC7"/>
    <w:rsid w:val="007E2163"/>
    <w:rsid w:val="007E23ED"/>
    <w:rsid w:val="007F034C"/>
    <w:rsid w:val="00804CB9"/>
    <w:rsid w:val="00854099"/>
    <w:rsid w:val="00866F90"/>
    <w:rsid w:val="00886F29"/>
    <w:rsid w:val="008A14C6"/>
    <w:rsid w:val="008B0094"/>
    <w:rsid w:val="008B6066"/>
    <w:rsid w:val="008C2BC0"/>
    <w:rsid w:val="008C5FFE"/>
    <w:rsid w:val="009229D0"/>
    <w:rsid w:val="00953661"/>
    <w:rsid w:val="00975E61"/>
    <w:rsid w:val="009870F4"/>
    <w:rsid w:val="009B10BB"/>
    <w:rsid w:val="009C0FFC"/>
    <w:rsid w:val="009E29CD"/>
    <w:rsid w:val="009E7CEF"/>
    <w:rsid w:val="00A10D03"/>
    <w:rsid w:val="00A112E7"/>
    <w:rsid w:val="00A15613"/>
    <w:rsid w:val="00A207E9"/>
    <w:rsid w:val="00A2081B"/>
    <w:rsid w:val="00A241F4"/>
    <w:rsid w:val="00A330C0"/>
    <w:rsid w:val="00A37572"/>
    <w:rsid w:val="00A44634"/>
    <w:rsid w:val="00A561D4"/>
    <w:rsid w:val="00A601FE"/>
    <w:rsid w:val="00A60D90"/>
    <w:rsid w:val="00A669E1"/>
    <w:rsid w:val="00A77974"/>
    <w:rsid w:val="00A86E07"/>
    <w:rsid w:val="00A94015"/>
    <w:rsid w:val="00A95799"/>
    <w:rsid w:val="00AA6529"/>
    <w:rsid w:val="00AF2633"/>
    <w:rsid w:val="00AF4C5F"/>
    <w:rsid w:val="00B06C8C"/>
    <w:rsid w:val="00B51FA3"/>
    <w:rsid w:val="00B622F0"/>
    <w:rsid w:val="00B66B5F"/>
    <w:rsid w:val="00BA3329"/>
    <w:rsid w:val="00BC4F56"/>
    <w:rsid w:val="00BD7EEE"/>
    <w:rsid w:val="00BE46C7"/>
    <w:rsid w:val="00BF6AC1"/>
    <w:rsid w:val="00C06B94"/>
    <w:rsid w:val="00C1069D"/>
    <w:rsid w:val="00C275C9"/>
    <w:rsid w:val="00C66DA1"/>
    <w:rsid w:val="00C905B6"/>
    <w:rsid w:val="00C97C18"/>
    <w:rsid w:val="00CC57C9"/>
    <w:rsid w:val="00CD0A11"/>
    <w:rsid w:val="00CE1F7E"/>
    <w:rsid w:val="00CE56BD"/>
    <w:rsid w:val="00CE7598"/>
    <w:rsid w:val="00D05BF0"/>
    <w:rsid w:val="00D23C2E"/>
    <w:rsid w:val="00D37C08"/>
    <w:rsid w:val="00D430A8"/>
    <w:rsid w:val="00D52424"/>
    <w:rsid w:val="00D66283"/>
    <w:rsid w:val="00D70659"/>
    <w:rsid w:val="00D80630"/>
    <w:rsid w:val="00D87652"/>
    <w:rsid w:val="00D95359"/>
    <w:rsid w:val="00DA7970"/>
    <w:rsid w:val="00DC7376"/>
    <w:rsid w:val="00DD406D"/>
    <w:rsid w:val="00DF560B"/>
    <w:rsid w:val="00E1738C"/>
    <w:rsid w:val="00E30EBC"/>
    <w:rsid w:val="00E75308"/>
    <w:rsid w:val="00E7632B"/>
    <w:rsid w:val="00E9379C"/>
    <w:rsid w:val="00EA1A60"/>
    <w:rsid w:val="00EC73CA"/>
    <w:rsid w:val="00F01893"/>
    <w:rsid w:val="00F16843"/>
    <w:rsid w:val="00F43876"/>
    <w:rsid w:val="00F53973"/>
    <w:rsid w:val="00F5748A"/>
    <w:rsid w:val="00F63846"/>
    <w:rsid w:val="00F72EBD"/>
    <w:rsid w:val="00F82B5C"/>
    <w:rsid w:val="00F84F59"/>
    <w:rsid w:val="00FA2046"/>
    <w:rsid w:val="00FA5ACD"/>
    <w:rsid w:val="00FB2412"/>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27A892"/>
  <w15:docId w15:val="{66C28849-13C6-4B93-8D32-299718CE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13"/>
    <w:lsdException w:name="FollowedHyperlink" w:semiHidden="1" w:unhideWhenUsed="1"/>
    <w:lsdException w:name="Strong"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uiPriority w:val="13"/>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1F2ED1"/>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SchwacheHervorhebung">
    <w:name w:val="Subtle Emphasis"/>
    <w:uiPriority w:val="19"/>
    <w:qFormat/>
    <w:rsid w:val="001F2ED1"/>
    <w:rPr>
      <w:rFonts w:cs="Times New Roman"/>
      <w:i/>
      <w:iCs/>
      <w:color w:val="auto"/>
    </w:rPr>
  </w:style>
  <w:style w:type="character" w:styleId="Hervorhebung">
    <w:name w:val="Emphasis"/>
    <w:uiPriority w:val="11"/>
    <w:qFormat/>
    <w:rsid w:val="001F2ED1"/>
    <w:rPr>
      <w:rFonts w:ascii="Arial" w:hAnsi="Arial" w:cs="Times New Roman"/>
      <w:b/>
      <w:iCs/>
      <w:sz w:val="20"/>
    </w:rPr>
  </w:style>
  <w:style w:type="character" w:customStyle="1" w:styleId="FlietextStandardZchn">
    <w:name w:val="Fließtext Standard Zchn"/>
    <w:link w:val="FlietextStandard"/>
    <w:uiPriority w:val="10"/>
    <w:locked/>
    <w:rsid w:val="001F2ED1"/>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3286">
      <w:bodyDiv w:val="1"/>
      <w:marLeft w:val="0"/>
      <w:marRight w:val="0"/>
      <w:marTop w:val="0"/>
      <w:marBottom w:val="0"/>
      <w:divBdr>
        <w:top w:val="none" w:sz="0" w:space="0" w:color="auto"/>
        <w:left w:val="none" w:sz="0" w:space="0" w:color="auto"/>
        <w:bottom w:val="none" w:sz="0" w:space="0" w:color="auto"/>
        <w:right w:val="none" w:sz="0" w:space="0" w:color="auto"/>
      </w:divBdr>
      <w:divsChild>
        <w:div w:id="1978534743">
          <w:marLeft w:val="36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d.heusing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772F7-C4E3-4C6C-AE35-8943BDFE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7294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Gute Auftrags- und Projektlage im Koenig &amp; Bauer-Konzern</vt:lpstr>
    </vt:vector>
  </TitlesOfParts>
  <Company>Koenig &amp; Bauer</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with 10.2% higher order intake</dc:title>
  <dc:creator>Bausenwein, Linda (ZM)</dc:creator>
  <dc:description>Optimiert für Word 2016</dc:description>
  <cp:lastModifiedBy>Bausenwein, Linda (ZM)</cp:lastModifiedBy>
  <cp:revision>9</cp:revision>
  <dcterms:created xsi:type="dcterms:W3CDTF">2019-04-30T11:50:00Z</dcterms:created>
  <dcterms:modified xsi:type="dcterms:W3CDTF">2019-05-03T06:03:00Z</dcterms:modified>
</cp:coreProperties>
</file>